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46E6E">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lang w:eastAsia="zh-CN"/>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lang w:val="en-US" w:eastAsia="zh-CN"/>
        </w:rPr>
        <w:t>住培师资培训系统</w:t>
      </w:r>
      <w:r>
        <w:rPr>
          <w:rFonts w:hint="eastAsia" w:ascii="宋体" w:hAnsi="宋体" w:eastAsia="宋体" w:cs="微软雅黑"/>
          <w:b/>
          <w:bCs/>
          <w:kern w:val="44"/>
          <w:sz w:val="30"/>
          <w:szCs w:val="30"/>
        </w:rPr>
        <w:t>技术参数</w:t>
      </w:r>
      <w:r>
        <w:rPr>
          <w:rFonts w:hint="eastAsia" w:ascii="宋体" w:hAnsi="宋体" w:eastAsia="宋体" w:cs="微软雅黑"/>
          <w:b/>
          <w:bCs/>
          <w:kern w:val="44"/>
          <w:sz w:val="30"/>
          <w:szCs w:val="30"/>
          <w:lang w:eastAsia="zh-CN"/>
        </w:rPr>
        <w:t>要求</w:t>
      </w:r>
    </w:p>
    <w:p w14:paraId="010240BA">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kern w:val="44"/>
          <w:sz w:val="24"/>
          <w:szCs w:val="24"/>
        </w:rPr>
      </w:pPr>
    </w:p>
    <w:bookmarkEnd w:id="0"/>
    <w:p w14:paraId="20BAB7AD">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sz w:val="28"/>
          <w:szCs w:val="28"/>
        </w:rPr>
      </w:pPr>
      <w:r>
        <w:rPr>
          <w:rFonts w:hint="eastAsia" w:ascii="宋体" w:hAnsi="宋体" w:eastAsia="宋体"/>
          <w:b/>
          <w:sz w:val="28"/>
          <w:szCs w:val="28"/>
        </w:rPr>
        <w:t>项目背景</w:t>
      </w:r>
    </w:p>
    <w:p w14:paraId="170FA98F">
      <w:pPr>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宋体" w:hAnsi="宋体" w:eastAsia="宋体"/>
          <w:sz w:val="24"/>
          <w:szCs w:val="24"/>
        </w:rPr>
      </w:pPr>
      <w:r>
        <w:rPr>
          <w:rFonts w:hint="eastAsia" w:ascii="宋体" w:hAnsi="宋体" w:eastAsia="宋体"/>
          <w:sz w:val="24"/>
          <w:szCs w:val="24"/>
        </w:rPr>
        <w:t>根据自治区卫生健康委《关于加强住培院级师资培训的通知》文件精神，各住院医师规范化培训基地需根据《住院医师规范化培训院级师资培训方案》开展院内住培指导医师培训，指导医师上岗前需参加院级师资上岗培训，且师资培训率达到100%，年度师资培训时间累计不少于2天(16个学时)。结合我院实际情况，2024年已聘任师资571人，其中协同单位广州市妇女儿童医疗中心柳州医院15人、柳州市红十字会医院9人、广西脑科医院3人、全科基层实践基地阳和社区卫生服务中心8人</w:t>
      </w:r>
      <w:r>
        <w:rPr>
          <w:rFonts w:hint="eastAsia" w:ascii="宋体" w:hAnsi="宋体" w:eastAsia="宋体"/>
          <w:sz w:val="24"/>
          <w:szCs w:val="24"/>
          <w:lang w:eastAsia="zh-CN"/>
        </w:rPr>
        <w:t>；</w:t>
      </w:r>
      <w:r>
        <w:rPr>
          <w:rFonts w:hint="eastAsia" w:ascii="宋体" w:hAnsi="宋体" w:eastAsia="宋体"/>
          <w:sz w:val="24"/>
          <w:szCs w:val="24"/>
        </w:rPr>
        <w:t>根据教学需求，2025年预计将有新的人员考核达标后需聘为住培师资队伍。</w:t>
      </w:r>
    </w:p>
    <w:p w14:paraId="47A0B5B7">
      <w:pPr>
        <w:pageBreakBefore w:val="0"/>
        <w:widowControl w:val="0"/>
        <w:kinsoku/>
        <w:wordWrap/>
        <w:overflowPunct/>
        <w:topLinePunct w:val="0"/>
        <w:autoSpaceDE/>
        <w:autoSpaceDN/>
        <w:bidi w:val="0"/>
        <w:adjustRightInd/>
        <w:snapToGrid/>
        <w:spacing w:line="312" w:lineRule="auto"/>
        <w:ind w:firstLine="420" w:firstLineChars="0"/>
        <w:textAlignment w:val="auto"/>
        <w:rPr>
          <w:rFonts w:ascii="宋体" w:hAnsi="宋体" w:eastAsia="宋体"/>
          <w:sz w:val="24"/>
          <w:szCs w:val="24"/>
        </w:rPr>
      </w:pPr>
      <w:r>
        <w:rPr>
          <w:rFonts w:hint="eastAsia" w:ascii="宋体" w:hAnsi="宋体" w:eastAsia="宋体"/>
          <w:sz w:val="24"/>
          <w:szCs w:val="24"/>
        </w:rPr>
        <w:t>结合我院多院区管理，协同单位较多，及住培师资数量庞大等现实情况，常规的现场培训场地受限，培训率难以达到100%，师资培训管理难度较大，</w:t>
      </w:r>
      <w:r>
        <w:rPr>
          <w:rFonts w:hint="eastAsia" w:ascii="宋体" w:hAnsi="宋体" w:eastAsia="宋体"/>
          <w:sz w:val="24"/>
          <w:szCs w:val="24"/>
          <w:lang w:val="en-US" w:eastAsia="zh-CN"/>
        </w:rPr>
        <w:t>故</w:t>
      </w:r>
      <w:r>
        <w:rPr>
          <w:rFonts w:hint="eastAsia" w:ascii="宋体" w:hAnsi="宋体" w:eastAsia="宋体"/>
          <w:sz w:val="24"/>
          <w:szCs w:val="24"/>
        </w:rPr>
        <w:t>申请购买住培师资系统，主要是购买相关线上课程，用于住培师资日常培训，进行信息化管理。</w:t>
      </w:r>
    </w:p>
    <w:p w14:paraId="67427706">
      <w:pPr>
        <w:pStyle w:val="1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eastAsia="宋体"/>
          <w:sz w:val="24"/>
          <w:szCs w:val="24"/>
        </w:rPr>
      </w:pPr>
      <w:r>
        <w:rPr>
          <w:rFonts w:hint="eastAsia" w:ascii="宋体" w:hAnsi="宋体" w:eastAsia="宋体"/>
          <w:b/>
          <w:sz w:val="28"/>
          <w:szCs w:val="28"/>
        </w:rPr>
        <w:t>二、项目建设内容及要求</w:t>
      </w:r>
    </w:p>
    <w:tbl>
      <w:tblPr>
        <w:tblStyle w:val="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10"/>
        <w:gridCol w:w="1329"/>
        <w:gridCol w:w="5691"/>
      </w:tblGrid>
      <w:tr w14:paraId="0A51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B053C1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序号</w:t>
            </w:r>
          </w:p>
        </w:tc>
        <w:tc>
          <w:tcPr>
            <w:tcW w:w="1110" w:type="dxa"/>
          </w:tcPr>
          <w:p w14:paraId="1AFF3EAA">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模块</w:t>
            </w:r>
          </w:p>
        </w:tc>
        <w:tc>
          <w:tcPr>
            <w:tcW w:w="1329" w:type="dxa"/>
          </w:tcPr>
          <w:p w14:paraId="094C7C7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功能</w:t>
            </w:r>
          </w:p>
        </w:tc>
        <w:tc>
          <w:tcPr>
            <w:tcW w:w="5691" w:type="dxa"/>
          </w:tcPr>
          <w:p w14:paraId="4431BC39">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内涵描述</w:t>
            </w:r>
          </w:p>
        </w:tc>
      </w:tr>
      <w:tr w14:paraId="6502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748" w:type="dxa"/>
            <w:vMerge w:val="restart"/>
            <w:vAlign w:val="center"/>
          </w:tcPr>
          <w:p w14:paraId="525FBDA4">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1</w:t>
            </w:r>
          </w:p>
        </w:tc>
        <w:tc>
          <w:tcPr>
            <w:tcW w:w="1110" w:type="dxa"/>
            <w:vMerge w:val="restart"/>
            <w:vAlign w:val="center"/>
          </w:tcPr>
          <w:p w14:paraId="4D556AA6">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Theme="minorEastAsia"/>
                <w:lang w:val="en-US" w:eastAsia="zh-CN"/>
              </w:rPr>
            </w:pPr>
            <w:r>
              <w:rPr>
                <w:rFonts w:hint="eastAsia" w:ascii="宋体" w:hAnsi="宋体" w:eastAsiaTheme="minorEastAsia"/>
                <w:lang w:val="en-US" w:eastAsia="zh-CN"/>
              </w:rPr>
              <w:t>住培师资培训系统</w:t>
            </w:r>
          </w:p>
        </w:tc>
        <w:tc>
          <w:tcPr>
            <w:tcW w:w="1329" w:type="dxa"/>
            <w:vAlign w:val="center"/>
          </w:tcPr>
          <w:p w14:paraId="2E3273E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rPr>
              <w:t>课程学习</w:t>
            </w:r>
          </w:p>
        </w:tc>
        <w:tc>
          <w:tcPr>
            <w:tcW w:w="5691" w:type="dxa"/>
          </w:tcPr>
          <w:p w14:paraId="18F81E38">
            <w:pPr>
              <w:adjustRightInd w:val="0"/>
              <w:snapToGrid w:val="0"/>
              <w:spacing w:line="360" w:lineRule="auto"/>
              <w:rPr>
                <w:rFonts w:hint="eastAsia"/>
              </w:rPr>
            </w:pPr>
          </w:p>
          <w:p w14:paraId="4E0210F5">
            <w:pPr>
              <w:numPr>
                <w:ilvl w:val="0"/>
                <w:numId w:val="3"/>
              </w:numPr>
              <w:adjustRightInd w:val="0"/>
              <w:snapToGrid w:val="0"/>
              <w:spacing w:line="360" w:lineRule="auto"/>
              <w:rPr>
                <w:rFonts w:hint="eastAsia" w:eastAsia="宋体"/>
                <w:lang w:eastAsia="zh-CN"/>
              </w:rPr>
            </w:pPr>
            <w:r>
              <w:rPr>
                <w:rFonts w:hint="eastAsia"/>
              </w:rPr>
              <w:t>学员可按模块进行课程分类学习，第一遍学习不可快进拖拽，可进行断点续播；</w:t>
            </w:r>
          </w:p>
          <w:p w14:paraId="201775E1">
            <w:pPr>
              <w:numPr>
                <w:ilvl w:val="0"/>
                <w:numId w:val="3"/>
              </w:numPr>
              <w:adjustRightInd w:val="0"/>
              <w:snapToGrid w:val="0"/>
              <w:spacing w:line="360" w:lineRule="auto"/>
              <w:rPr>
                <w:rFonts w:hint="eastAsia" w:eastAsia="宋体"/>
                <w:lang w:eastAsia="zh-CN"/>
              </w:rPr>
            </w:pPr>
            <w:r>
              <w:rPr>
                <w:rFonts w:hint="eastAsia"/>
              </w:rPr>
              <w:t>课程学习过程中可随机设置人脸识别验证和签到；</w:t>
            </w:r>
          </w:p>
          <w:p w14:paraId="2B221C4C">
            <w:pPr>
              <w:numPr>
                <w:ilvl w:val="0"/>
                <w:numId w:val="3"/>
              </w:numPr>
              <w:adjustRightInd w:val="0"/>
              <w:snapToGrid w:val="0"/>
              <w:spacing w:line="360" w:lineRule="auto"/>
              <w:rPr>
                <w:rFonts w:hint="eastAsia" w:eastAsia="宋体"/>
                <w:lang w:eastAsia="zh-CN"/>
              </w:rPr>
            </w:pPr>
            <w:r>
              <w:rPr>
                <w:rFonts w:hint="eastAsia"/>
              </w:rPr>
              <w:t>学员也可按课程性质（必修/选修）和按学习状态（未完成/已完成）筛选课程进行学习；</w:t>
            </w:r>
          </w:p>
          <w:p w14:paraId="627DBF25">
            <w:pPr>
              <w:numPr>
                <w:ilvl w:val="0"/>
                <w:numId w:val="3"/>
              </w:numPr>
              <w:adjustRightInd w:val="0"/>
              <w:snapToGrid w:val="0"/>
              <w:spacing w:line="360" w:lineRule="auto"/>
              <w:rPr>
                <w:rFonts w:hint="eastAsia" w:eastAsia="宋体"/>
                <w:lang w:eastAsia="zh-CN"/>
              </w:rPr>
            </w:pPr>
            <w:r>
              <w:rPr>
                <w:rFonts w:hint="eastAsia"/>
              </w:rPr>
              <w:t>每节课程学习完成后</w:t>
            </w:r>
            <w:r>
              <w:rPr>
                <w:rFonts w:hint="eastAsia"/>
                <w:lang w:val="en-US" w:eastAsia="zh-CN"/>
              </w:rPr>
              <w:t>可</w:t>
            </w:r>
            <w:r>
              <w:rPr>
                <w:rFonts w:hint="eastAsia"/>
              </w:rPr>
              <w:t>进行课程评价；</w:t>
            </w:r>
          </w:p>
          <w:p w14:paraId="5DEA7303">
            <w:pPr>
              <w:numPr>
                <w:ilvl w:val="0"/>
                <w:numId w:val="3"/>
              </w:numPr>
              <w:adjustRightInd w:val="0"/>
              <w:snapToGrid w:val="0"/>
              <w:spacing w:line="360" w:lineRule="auto"/>
              <w:rPr>
                <w:rFonts w:ascii="宋体" w:hAnsi="宋体" w:eastAsia="宋体"/>
              </w:rPr>
            </w:pPr>
            <w:r>
              <w:rPr>
                <w:rFonts w:hint="eastAsia"/>
              </w:rPr>
              <w:t>学员的学习进度随着完成情况实时更新，可通过图形展示的方式体现学习进度结果，便于学员合理分配自己的时间参与学习过程</w:t>
            </w:r>
            <w:r>
              <w:rPr>
                <w:rFonts w:hint="eastAsia"/>
                <w:lang w:eastAsia="zh-CN"/>
              </w:rPr>
              <w:t>。</w:t>
            </w:r>
          </w:p>
        </w:tc>
      </w:tr>
      <w:tr w14:paraId="1BA5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748" w:type="dxa"/>
            <w:vMerge w:val="continue"/>
            <w:vAlign w:val="center"/>
          </w:tcPr>
          <w:p w14:paraId="22350FA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110" w:type="dxa"/>
            <w:vMerge w:val="continue"/>
            <w:vAlign w:val="center"/>
          </w:tcPr>
          <w:p w14:paraId="33DC2AD0">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329" w:type="dxa"/>
            <w:vAlign w:val="center"/>
          </w:tcPr>
          <w:p w14:paraId="4A008BB6">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rPr>
              <w:t>课后作业</w:t>
            </w:r>
          </w:p>
        </w:tc>
        <w:tc>
          <w:tcPr>
            <w:tcW w:w="5691" w:type="dxa"/>
          </w:tcPr>
          <w:p w14:paraId="644289A7">
            <w:pPr>
              <w:pageBreakBefore w:val="0"/>
              <w:widowControl w:val="0"/>
              <w:kinsoku/>
              <w:wordWrap/>
              <w:overflowPunct/>
              <w:topLinePunct w:val="0"/>
              <w:autoSpaceDE/>
              <w:autoSpaceDN/>
              <w:bidi w:val="0"/>
              <w:adjustRightInd/>
              <w:snapToGrid/>
              <w:spacing w:line="312" w:lineRule="auto"/>
              <w:jc w:val="left"/>
              <w:textAlignment w:val="auto"/>
              <w:rPr>
                <w:rFonts w:hint="eastAsia"/>
              </w:rPr>
            </w:pPr>
          </w:p>
          <w:p w14:paraId="0C05A1C9">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rPr>
              <w:t>每节课程配套有课后作业，学员可通过完成课后作业检测学习效果，课后作业完成情况与学习进度挂钩（课后作业全部作答正确+视频课程学习完成方可认为本节课程学习完毕）。</w:t>
            </w:r>
          </w:p>
        </w:tc>
      </w:tr>
      <w:tr w14:paraId="4B11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14:paraId="7CC9687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110" w:type="dxa"/>
            <w:vMerge w:val="continue"/>
            <w:vAlign w:val="center"/>
          </w:tcPr>
          <w:p w14:paraId="1CAB19B5">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329" w:type="dxa"/>
            <w:vAlign w:val="center"/>
          </w:tcPr>
          <w:p w14:paraId="08691FB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rPr>
              <w:t>理论考试和结果展示</w:t>
            </w:r>
          </w:p>
        </w:tc>
        <w:tc>
          <w:tcPr>
            <w:tcW w:w="5691" w:type="dxa"/>
          </w:tcPr>
          <w:p w14:paraId="2E089790">
            <w:pPr>
              <w:numPr>
                <w:ilvl w:val="0"/>
                <w:numId w:val="4"/>
              </w:numPr>
              <w:adjustRightInd w:val="0"/>
              <w:snapToGrid w:val="0"/>
              <w:spacing w:line="360" w:lineRule="auto"/>
            </w:pPr>
            <w:r>
              <w:rPr>
                <w:rFonts w:hint="eastAsia"/>
                <w:lang w:val="en-US" w:eastAsia="zh-CN"/>
              </w:rPr>
              <w:t>系统</w:t>
            </w:r>
            <w:r>
              <w:rPr>
                <w:rFonts w:hint="eastAsia"/>
              </w:rPr>
              <w:t>应具备在线考试功能，可显示多次考试的名称、开始时间和结束时间、可对考试进行智能实时评分（提交试卷即可显示分数），且可灵活配置考试时间、题型题量分值、是否显示分数、是否打乱题序和选项、考试次数等。</w:t>
            </w:r>
          </w:p>
          <w:p w14:paraId="0A260405">
            <w:pPr>
              <w:numPr>
                <w:ilvl w:val="0"/>
                <w:numId w:val="4"/>
              </w:numPr>
              <w:adjustRightInd w:val="0"/>
              <w:snapToGrid w:val="0"/>
              <w:spacing w:line="360" w:lineRule="auto"/>
            </w:pPr>
            <w:r>
              <w:rPr>
                <w:rFonts w:hint="eastAsia"/>
              </w:rPr>
              <w:t>考试过程中可随机设置人脸识别验证，</w:t>
            </w:r>
            <w:r>
              <w:rPr>
                <w:rFonts w:hint="eastAsia"/>
                <w:lang w:val="en-US" w:eastAsia="zh-CN"/>
              </w:rPr>
              <w:t>防止</w:t>
            </w:r>
            <w:r>
              <w:rPr>
                <w:rFonts w:hint="eastAsia"/>
              </w:rPr>
              <w:t>代考现象。</w:t>
            </w:r>
          </w:p>
          <w:p w14:paraId="7CDF3F07">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p>
        </w:tc>
      </w:tr>
      <w:tr w14:paraId="6EF6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8" w:type="dxa"/>
            <w:vMerge w:val="continue"/>
            <w:vAlign w:val="center"/>
          </w:tcPr>
          <w:p w14:paraId="50820901">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110" w:type="dxa"/>
            <w:vMerge w:val="continue"/>
            <w:vAlign w:val="center"/>
          </w:tcPr>
          <w:p w14:paraId="37424BA1">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329" w:type="dxa"/>
            <w:vAlign w:val="center"/>
          </w:tcPr>
          <w:p w14:paraId="601D1665">
            <w:pPr>
              <w:pageBreakBefore w:val="0"/>
              <w:widowControl w:val="0"/>
              <w:kinsoku/>
              <w:wordWrap/>
              <w:overflowPunct/>
              <w:topLinePunct w:val="0"/>
              <w:autoSpaceDE/>
              <w:autoSpaceDN/>
              <w:bidi w:val="0"/>
              <w:adjustRightInd/>
              <w:snapToGrid/>
              <w:spacing w:line="312" w:lineRule="auto"/>
              <w:jc w:val="center"/>
              <w:textAlignment w:val="auto"/>
              <w:rPr>
                <w:rFonts w:hint="eastAsia"/>
              </w:rPr>
            </w:pPr>
            <w:r>
              <w:rPr>
                <w:rFonts w:hint="eastAsia"/>
              </w:rPr>
              <w:t>权限管理</w:t>
            </w:r>
          </w:p>
        </w:tc>
        <w:tc>
          <w:tcPr>
            <w:tcW w:w="5691" w:type="dxa"/>
            <w:vAlign w:val="center"/>
          </w:tcPr>
          <w:p w14:paraId="0DF2119D">
            <w:pPr>
              <w:adjustRightInd w:val="0"/>
              <w:snapToGrid w:val="0"/>
              <w:spacing w:line="360" w:lineRule="auto"/>
              <w:jc w:val="left"/>
              <w:rPr>
                <w:rFonts w:ascii="宋体" w:hAnsi="宋体" w:eastAsia="宋体"/>
              </w:rPr>
            </w:pPr>
            <w:r>
              <w:rPr>
                <w:rFonts w:hint="eastAsia"/>
              </w:rPr>
              <w:t>支持不同管理权限分配</w:t>
            </w:r>
          </w:p>
        </w:tc>
      </w:tr>
      <w:tr w14:paraId="23F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14:paraId="638616EA">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110" w:type="dxa"/>
            <w:vMerge w:val="continue"/>
            <w:vAlign w:val="center"/>
          </w:tcPr>
          <w:p w14:paraId="0790D3E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329" w:type="dxa"/>
            <w:vAlign w:val="center"/>
          </w:tcPr>
          <w:p w14:paraId="1A79740D">
            <w:pPr>
              <w:pageBreakBefore w:val="0"/>
              <w:widowControl w:val="0"/>
              <w:kinsoku/>
              <w:wordWrap/>
              <w:overflowPunct/>
              <w:topLinePunct w:val="0"/>
              <w:autoSpaceDE/>
              <w:autoSpaceDN/>
              <w:bidi w:val="0"/>
              <w:adjustRightInd/>
              <w:snapToGrid/>
              <w:spacing w:line="312" w:lineRule="auto"/>
              <w:jc w:val="center"/>
              <w:textAlignment w:val="auto"/>
              <w:rPr>
                <w:rFonts w:hint="eastAsia"/>
              </w:rPr>
            </w:pPr>
            <w:r>
              <w:rPr>
                <w:rFonts w:hint="eastAsia"/>
              </w:rPr>
              <w:t>基本信息</w:t>
            </w:r>
          </w:p>
          <w:p w14:paraId="7CC36905">
            <w:pPr>
              <w:pageBreakBefore w:val="0"/>
              <w:widowControl w:val="0"/>
              <w:kinsoku/>
              <w:wordWrap/>
              <w:overflowPunct/>
              <w:topLinePunct w:val="0"/>
              <w:autoSpaceDE/>
              <w:autoSpaceDN/>
              <w:bidi w:val="0"/>
              <w:adjustRightInd/>
              <w:snapToGrid/>
              <w:spacing w:line="312" w:lineRule="auto"/>
              <w:jc w:val="center"/>
              <w:textAlignment w:val="auto"/>
              <w:rPr>
                <w:rFonts w:hint="eastAsia"/>
              </w:rPr>
            </w:pPr>
            <w:r>
              <w:rPr>
                <w:rFonts w:hint="eastAsia"/>
              </w:rPr>
              <w:t>维护</w:t>
            </w:r>
          </w:p>
        </w:tc>
        <w:tc>
          <w:tcPr>
            <w:tcW w:w="5691" w:type="dxa"/>
          </w:tcPr>
          <w:p w14:paraId="4F56716F">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rPr>
              <w:t>可进行机构信息和人员信息的添加、修改、注销等维护。</w:t>
            </w:r>
          </w:p>
        </w:tc>
      </w:tr>
      <w:tr w14:paraId="70B9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48" w:type="dxa"/>
            <w:vMerge w:val="continue"/>
            <w:vAlign w:val="center"/>
          </w:tcPr>
          <w:p w14:paraId="0E7A284A">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110" w:type="dxa"/>
            <w:vMerge w:val="continue"/>
            <w:vAlign w:val="center"/>
          </w:tcPr>
          <w:p w14:paraId="0E053A6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329" w:type="dxa"/>
            <w:vAlign w:val="center"/>
          </w:tcPr>
          <w:p w14:paraId="5602528B">
            <w:pPr>
              <w:pageBreakBefore w:val="0"/>
              <w:widowControl w:val="0"/>
              <w:kinsoku/>
              <w:wordWrap/>
              <w:overflowPunct/>
              <w:topLinePunct w:val="0"/>
              <w:autoSpaceDE/>
              <w:autoSpaceDN/>
              <w:bidi w:val="0"/>
              <w:adjustRightInd/>
              <w:snapToGrid/>
              <w:spacing w:line="312" w:lineRule="auto"/>
              <w:jc w:val="center"/>
              <w:textAlignment w:val="auto"/>
              <w:rPr>
                <w:rFonts w:hint="eastAsia"/>
              </w:rPr>
            </w:pPr>
            <w:r>
              <w:rPr>
                <w:rFonts w:hint="eastAsia"/>
              </w:rPr>
              <w:t>人员管理</w:t>
            </w:r>
          </w:p>
        </w:tc>
        <w:tc>
          <w:tcPr>
            <w:tcW w:w="5691" w:type="dxa"/>
          </w:tcPr>
          <w:p w14:paraId="1A109024">
            <w:pPr>
              <w:adjustRightInd w:val="0"/>
              <w:snapToGrid w:val="0"/>
              <w:spacing w:line="360" w:lineRule="auto"/>
              <w:rPr>
                <w:rFonts w:ascii="宋体" w:hAnsi="宋体" w:eastAsia="宋体"/>
                <w:color w:val="auto"/>
              </w:rPr>
            </w:pPr>
            <w:r>
              <w:rPr>
                <w:rFonts w:hint="eastAsia"/>
                <w:color w:val="auto"/>
              </w:rPr>
              <w:t>支持人员查询、人员统计的功能。可查询每位学员的详细信息，可进行人员统计。满足</w:t>
            </w:r>
            <w:r>
              <w:rPr>
                <w:rFonts w:hint="eastAsia"/>
                <w:color w:val="auto"/>
                <w:lang w:val="en-US" w:eastAsia="zh-CN"/>
              </w:rPr>
              <w:t>至少650</w:t>
            </w:r>
            <w:r>
              <w:rPr>
                <w:color w:val="auto"/>
              </w:rPr>
              <w:t>名学员完成住培院级师资培训</w:t>
            </w:r>
            <w:r>
              <w:rPr>
                <w:rFonts w:hint="eastAsia"/>
                <w:color w:val="auto"/>
              </w:rPr>
              <w:t>服务。</w:t>
            </w:r>
          </w:p>
        </w:tc>
      </w:tr>
      <w:tr w14:paraId="593A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14:paraId="694EC932">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110" w:type="dxa"/>
            <w:vMerge w:val="continue"/>
            <w:vAlign w:val="center"/>
          </w:tcPr>
          <w:p w14:paraId="10282197">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329" w:type="dxa"/>
            <w:vAlign w:val="center"/>
          </w:tcPr>
          <w:p w14:paraId="3F087EA7">
            <w:pPr>
              <w:pageBreakBefore w:val="0"/>
              <w:widowControl w:val="0"/>
              <w:kinsoku/>
              <w:wordWrap/>
              <w:overflowPunct/>
              <w:topLinePunct w:val="0"/>
              <w:autoSpaceDE/>
              <w:autoSpaceDN/>
              <w:bidi w:val="0"/>
              <w:adjustRightInd/>
              <w:snapToGrid/>
              <w:spacing w:line="312" w:lineRule="auto"/>
              <w:jc w:val="center"/>
              <w:textAlignment w:val="auto"/>
              <w:rPr>
                <w:rFonts w:hint="eastAsia"/>
              </w:rPr>
            </w:pPr>
            <w:r>
              <w:rPr>
                <w:rFonts w:hint="eastAsia"/>
              </w:rPr>
              <w:t>课程学习管理</w:t>
            </w:r>
          </w:p>
        </w:tc>
        <w:tc>
          <w:tcPr>
            <w:tcW w:w="5691" w:type="dxa"/>
          </w:tcPr>
          <w:p w14:paraId="600C1D89">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color w:val="auto"/>
              </w:rPr>
            </w:pPr>
            <w:r>
              <w:rPr>
                <w:rFonts w:hint="eastAsia"/>
                <w:color w:val="auto"/>
              </w:rPr>
              <w:t>支持课程进度查询、学习进度统计功能。可查询每位学员的学习</w:t>
            </w:r>
          </w:p>
        </w:tc>
      </w:tr>
      <w:tr w14:paraId="349A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8" w:type="dxa"/>
            <w:vMerge w:val="restart"/>
            <w:vAlign w:val="center"/>
          </w:tcPr>
          <w:p w14:paraId="1DD83CE1">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2</w:t>
            </w:r>
          </w:p>
        </w:tc>
        <w:tc>
          <w:tcPr>
            <w:tcW w:w="1110" w:type="dxa"/>
            <w:vMerge w:val="restart"/>
            <w:vAlign w:val="center"/>
          </w:tcPr>
          <w:p w14:paraId="74000AD4">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Theme="minorEastAsia"/>
                <w:lang w:val="en-US" w:eastAsia="zh-CN"/>
              </w:rPr>
            </w:pPr>
            <w:r>
              <w:rPr>
                <w:rFonts w:hint="eastAsia" w:ascii="宋体" w:cs="宋体"/>
                <w:kern w:val="0"/>
              </w:rPr>
              <w:t>培训</w:t>
            </w:r>
            <w:r>
              <w:rPr>
                <w:rFonts w:hint="eastAsia" w:ascii="宋体" w:cs="宋体"/>
                <w:kern w:val="0"/>
                <w:lang w:val="en-US" w:eastAsia="zh-CN"/>
              </w:rPr>
              <w:t>内容</w:t>
            </w:r>
          </w:p>
        </w:tc>
        <w:tc>
          <w:tcPr>
            <w:tcW w:w="1329" w:type="dxa"/>
            <w:vAlign w:val="center"/>
          </w:tcPr>
          <w:p w14:paraId="4CFC30E5">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课程目录</w:t>
            </w:r>
          </w:p>
        </w:tc>
        <w:tc>
          <w:tcPr>
            <w:tcW w:w="5691" w:type="dxa"/>
            <w:vAlign w:val="center"/>
          </w:tcPr>
          <w:p w14:paraId="394E3CEC">
            <w:pPr>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详见附件1</w:t>
            </w:r>
          </w:p>
        </w:tc>
      </w:tr>
      <w:tr w14:paraId="10BF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14:paraId="637EFAD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110" w:type="dxa"/>
            <w:vMerge w:val="continue"/>
            <w:vAlign w:val="center"/>
          </w:tcPr>
          <w:p w14:paraId="4365D5B3">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p>
        </w:tc>
        <w:tc>
          <w:tcPr>
            <w:tcW w:w="1329" w:type="dxa"/>
            <w:vAlign w:val="center"/>
          </w:tcPr>
          <w:p w14:paraId="320A6905">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课程要求</w:t>
            </w:r>
          </w:p>
        </w:tc>
        <w:tc>
          <w:tcPr>
            <w:tcW w:w="5691" w:type="dxa"/>
            <w:vAlign w:val="center"/>
          </w:tcPr>
          <w:p w14:paraId="54F8BA7C">
            <w:pPr>
              <w:numPr>
                <w:ilvl w:val="0"/>
                <w:numId w:val="5"/>
              </w:numPr>
              <w:adjustRightInd w:val="0"/>
              <w:snapToGrid w:val="0"/>
              <w:spacing w:line="360" w:lineRule="auto"/>
              <w:rPr>
                <w:rFonts w:hint="eastAsia"/>
                <w:color w:val="auto"/>
              </w:rPr>
            </w:pPr>
            <w:r>
              <w:rPr>
                <w:rFonts w:hint="eastAsia"/>
                <w:color w:val="auto"/>
              </w:rPr>
              <w:t>培训课程以通识课为主，必须符合《住院医师规范化培训内容与标准（2022年版）》的要求，每年提供15学时课程，其中20%以上为情景模拟教学或工作坊形式。</w:t>
            </w:r>
          </w:p>
          <w:p w14:paraId="546B22DA">
            <w:pPr>
              <w:numPr>
                <w:ilvl w:val="0"/>
                <w:numId w:val="5"/>
              </w:numPr>
              <w:adjustRightInd w:val="0"/>
              <w:snapToGrid w:val="0"/>
              <w:spacing w:line="360" w:lineRule="auto"/>
              <w:ind w:left="0" w:leftChars="0" w:firstLine="0" w:firstLineChars="0"/>
              <w:rPr>
                <w:rFonts w:hint="eastAsia"/>
                <w:color w:val="auto"/>
              </w:rPr>
            </w:pPr>
            <w:r>
              <w:rPr>
                <w:rFonts w:hint="eastAsia"/>
                <w:color w:val="auto"/>
              </w:rPr>
              <w:t>课件内容准确权威，表现形式为现场授课形式。</w:t>
            </w:r>
          </w:p>
          <w:p w14:paraId="55F9E571">
            <w:pPr>
              <w:numPr>
                <w:ilvl w:val="0"/>
                <w:numId w:val="5"/>
              </w:numPr>
              <w:adjustRightInd w:val="0"/>
              <w:snapToGrid w:val="0"/>
              <w:spacing w:line="360" w:lineRule="auto"/>
              <w:ind w:left="0" w:leftChars="0" w:firstLine="0" w:firstLineChars="0"/>
              <w:rPr>
                <w:rFonts w:hint="eastAsia"/>
                <w:color w:val="auto"/>
              </w:rPr>
            </w:pPr>
            <w:r>
              <w:rPr>
                <w:rFonts w:hint="eastAsia"/>
                <w:color w:val="auto"/>
              </w:rPr>
              <w:t>授课者为国家或省级相关领域内具有一定知名度的专家，具备丰富现场授课经验和一定风格，能够起到示范作用。</w:t>
            </w:r>
          </w:p>
          <w:p w14:paraId="0A201F16">
            <w:pPr>
              <w:numPr>
                <w:ilvl w:val="0"/>
                <w:numId w:val="5"/>
              </w:numPr>
              <w:adjustRightInd w:val="0"/>
              <w:snapToGrid w:val="0"/>
              <w:spacing w:line="360" w:lineRule="auto"/>
              <w:ind w:left="0" w:leftChars="0" w:firstLine="0" w:firstLineChars="0"/>
              <w:rPr>
                <w:rFonts w:hint="eastAsia"/>
                <w:color w:val="auto"/>
              </w:rPr>
            </w:pPr>
            <w:r>
              <w:rPr>
                <w:rFonts w:hint="eastAsia"/>
                <w:color w:val="auto"/>
              </w:rPr>
              <w:t>服务供应商有能力独立承担完成专家邀请、现场组织、前期录制、后期编辑和剪辑、成品审核等全部流程。</w:t>
            </w:r>
          </w:p>
          <w:p w14:paraId="1B60A42C">
            <w:pPr>
              <w:pageBreakBefore w:val="0"/>
              <w:widowControl w:val="0"/>
              <w:numPr>
                <w:ilvl w:val="0"/>
                <w:numId w:val="5"/>
              </w:numPr>
              <w:kinsoku/>
              <w:wordWrap/>
              <w:overflowPunct/>
              <w:topLinePunct w:val="0"/>
              <w:autoSpaceDE/>
              <w:autoSpaceDN/>
              <w:bidi w:val="0"/>
              <w:adjustRightInd/>
              <w:snapToGrid/>
              <w:spacing w:line="312" w:lineRule="auto"/>
              <w:ind w:left="0" w:leftChars="0" w:firstLine="0" w:firstLineChars="0"/>
              <w:jc w:val="left"/>
              <w:textAlignment w:val="auto"/>
              <w:rPr>
                <w:rFonts w:ascii="宋体" w:hAnsi="宋体" w:eastAsia="宋体"/>
                <w:color w:val="auto"/>
              </w:rPr>
            </w:pPr>
            <w:r>
              <w:rPr>
                <w:rFonts w:hint="eastAsia"/>
                <w:color w:val="auto"/>
              </w:rPr>
              <w:t>课件成品要求画面清晰，剪辑设计美观悦目。</w:t>
            </w:r>
          </w:p>
        </w:tc>
      </w:tr>
    </w:tbl>
    <w:p w14:paraId="75FD127C">
      <w:pPr>
        <w:pStyle w:val="3"/>
        <w:pageBreakBefore w:val="0"/>
        <w:widowControl w:val="0"/>
        <w:kinsoku/>
        <w:wordWrap/>
        <w:overflowPunct/>
        <w:topLinePunct w:val="0"/>
        <w:autoSpaceDE/>
        <w:autoSpaceDN/>
        <w:bidi w:val="0"/>
        <w:adjustRightInd/>
        <w:snapToGrid/>
        <w:spacing w:after="0" w:line="312" w:lineRule="auto"/>
        <w:textAlignment w:val="auto"/>
        <w:rPr>
          <w:lang w:val="en-US"/>
        </w:rPr>
      </w:pPr>
    </w:p>
    <w:p w14:paraId="5FAB7572">
      <w:pPr>
        <w:pStyle w:val="3"/>
        <w:pageBreakBefore w:val="0"/>
        <w:widowControl w:val="0"/>
        <w:kinsoku/>
        <w:wordWrap/>
        <w:overflowPunct/>
        <w:topLinePunct w:val="0"/>
        <w:autoSpaceDE/>
        <w:autoSpaceDN/>
        <w:bidi w:val="0"/>
        <w:adjustRightInd/>
        <w:snapToGrid/>
        <w:spacing w:after="0" w:line="312" w:lineRule="auto"/>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8"/>
          <w:lang w:val="en-US"/>
        </w:rPr>
        <w:t>三、对系统性能指标要求</w:t>
      </w:r>
    </w:p>
    <w:p w14:paraId="4D43639D">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3.1</w:t>
      </w:r>
      <w:r>
        <w:rPr>
          <w:rFonts w:hint="eastAsia" w:ascii="宋体" w:hAnsi="宋体" w:eastAsia="宋体" w:cs="宋体"/>
          <w:color w:val="auto"/>
          <w:sz w:val="24"/>
          <w:szCs w:val="24"/>
          <w:lang w:val="en-US" w:eastAsia="zh-CN"/>
        </w:rPr>
        <w:t xml:space="preserve"> 性能指标要求：</w:t>
      </w:r>
      <w:r>
        <w:rPr>
          <w:rFonts w:hint="eastAsia" w:ascii="宋体" w:hAnsi="宋体" w:eastAsia="宋体" w:cs="宋体"/>
          <w:sz w:val="24"/>
          <w:szCs w:val="24"/>
        </w:rPr>
        <w:t>桌面应用响应时间≤3 秒</w:t>
      </w:r>
      <w:r>
        <w:rPr>
          <w:rFonts w:hint="eastAsia" w:ascii="宋体" w:hAnsi="宋体" w:eastAsia="宋体" w:cs="宋体"/>
          <w:sz w:val="24"/>
          <w:szCs w:val="24"/>
          <w:lang w:eastAsia="zh-CN"/>
        </w:rPr>
        <w:t>；</w:t>
      </w:r>
      <w:r>
        <w:rPr>
          <w:rFonts w:hint="eastAsia" w:ascii="宋体" w:hAnsi="宋体" w:eastAsia="宋体" w:cs="宋体"/>
          <w:sz w:val="24"/>
          <w:szCs w:val="24"/>
        </w:rPr>
        <w:t>WEB 应用响应时间应≤3 秒</w:t>
      </w:r>
      <w:r>
        <w:rPr>
          <w:rFonts w:hint="eastAsia" w:ascii="宋体" w:hAnsi="宋体" w:eastAsia="宋体" w:cs="宋体"/>
          <w:sz w:val="24"/>
          <w:szCs w:val="24"/>
          <w:lang w:eastAsia="zh-CN"/>
        </w:rPr>
        <w:t>；</w:t>
      </w:r>
      <w:r>
        <w:rPr>
          <w:rFonts w:hint="eastAsia" w:ascii="宋体" w:hAnsi="宋体" w:eastAsia="宋体" w:cs="宋体"/>
          <w:sz w:val="24"/>
          <w:szCs w:val="24"/>
        </w:rPr>
        <w:t>统计类等非业务界面响应时间应≤8 秒</w:t>
      </w:r>
      <w:r>
        <w:rPr>
          <w:rFonts w:hint="eastAsia" w:ascii="宋体" w:hAnsi="宋体" w:eastAsia="宋体" w:cs="宋体"/>
          <w:sz w:val="24"/>
          <w:szCs w:val="24"/>
          <w:lang w:eastAsia="zh-CN"/>
        </w:rPr>
        <w:t>；</w:t>
      </w:r>
      <w:r>
        <w:rPr>
          <w:rFonts w:hint="eastAsia" w:ascii="宋体" w:hAnsi="宋体" w:eastAsia="宋体" w:cs="宋体"/>
          <w:sz w:val="24"/>
          <w:szCs w:val="24"/>
        </w:rPr>
        <w:t>数据上传延时≤10 秒</w:t>
      </w:r>
      <w:r>
        <w:rPr>
          <w:rFonts w:hint="eastAsia" w:ascii="宋体" w:hAnsi="宋体" w:eastAsia="宋体" w:cs="宋体"/>
          <w:sz w:val="24"/>
          <w:szCs w:val="24"/>
          <w:lang w:eastAsia="zh-CN"/>
        </w:rPr>
        <w:t>；</w:t>
      </w:r>
      <w:r>
        <w:rPr>
          <w:rFonts w:hint="eastAsia" w:ascii="宋体" w:hAnsi="宋体" w:eastAsia="宋体" w:cs="宋体"/>
          <w:sz w:val="24"/>
          <w:szCs w:val="24"/>
        </w:rPr>
        <w:t>实时调取外部系统数据，结果呈现的响应时间≤3 秒</w:t>
      </w:r>
      <w:r>
        <w:rPr>
          <w:rFonts w:hint="eastAsia" w:ascii="宋体" w:hAnsi="宋体" w:eastAsia="宋体" w:cs="宋体"/>
          <w:sz w:val="24"/>
          <w:szCs w:val="24"/>
          <w:lang w:eastAsia="zh-CN"/>
        </w:rPr>
        <w:t>，</w:t>
      </w:r>
      <w:r>
        <w:rPr>
          <w:rFonts w:hint="eastAsia" w:ascii="宋体" w:hAnsi="宋体" w:eastAsia="宋体" w:cs="宋体"/>
          <w:sz w:val="24"/>
          <w:szCs w:val="24"/>
        </w:rPr>
        <w:t>因外部超时应作相应处理；各系统至平台的数据上传率≥99%</w:t>
      </w:r>
      <w:r>
        <w:rPr>
          <w:rFonts w:hint="eastAsia" w:ascii="宋体" w:hAnsi="宋体" w:eastAsia="宋体" w:cs="宋体"/>
          <w:sz w:val="24"/>
          <w:szCs w:val="24"/>
          <w:lang w:eastAsia="zh-CN"/>
        </w:rPr>
        <w:t>；</w:t>
      </w:r>
      <w:r>
        <w:rPr>
          <w:rFonts w:hint="eastAsia" w:ascii="宋体" w:hAnsi="宋体" w:eastAsia="宋体" w:cs="宋体"/>
          <w:sz w:val="24"/>
          <w:szCs w:val="24"/>
        </w:rPr>
        <w:t>各系统至平台的数据上传率≥500KB/s</w:t>
      </w:r>
      <w:r>
        <w:rPr>
          <w:rFonts w:hint="eastAsia" w:ascii="宋体" w:hAnsi="宋体" w:eastAsia="宋体" w:cs="宋体"/>
          <w:sz w:val="24"/>
          <w:szCs w:val="24"/>
          <w:lang w:eastAsia="zh-CN"/>
        </w:rPr>
        <w:t>；</w:t>
      </w:r>
      <w:r>
        <w:rPr>
          <w:rFonts w:hint="eastAsia" w:ascii="宋体" w:hAnsi="宋体" w:eastAsia="宋体" w:cs="宋体"/>
          <w:sz w:val="24"/>
          <w:szCs w:val="24"/>
        </w:rPr>
        <w:t>系统支持数据处理的并发量≥600个</w:t>
      </w:r>
      <w:r>
        <w:rPr>
          <w:rFonts w:hint="eastAsia" w:ascii="宋体" w:hAnsi="宋体" w:eastAsia="宋体" w:cs="宋体"/>
          <w:sz w:val="24"/>
          <w:szCs w:val="24"/>
          <w:lang w:eastAsia="zh-CN"/>
        </w:rPr>
        <w:t>。</w:t>
      </w:r>
    </w:p>
    <w:p w14:paraId="3ED3F231">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安全要求：符合国家信息安全相关要求</w:t>
      </w:r>
    </w:p>
    <w:p w14:paraId="078FB60F">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更新优化要求：供应商需在平台建设和运维过程中结合在线学习测试在运行过程中的实际需求，对系统进行不断的优化和调整，满足本平台的性能指标要求。</w:t>
      </w:r>
    </w:p>
    <w:p w14:paraId="4DA656A3">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 端口接入要求：</w:t>
      </w:r>
      <w:r>
        <w:rPr>
          <w:rFonts w:hint="eastAsia" w:ascii="宋体" w:hAnsi="宋体" w:eastAsia="宋体" w:cs="宋体"/>
          <w:sz w:val="24"/>
          <w:szCs w:val="24"/>
        </w:rPr>
        <w:t>平台服务需要同时支持 PC 端、手机端在线学习和考试，并可数据同步。</w:t>
      </w:r>
    </w:p>
    <w:p w14:paraId="076A394B">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四、项目实施要求</w:t>
      </w:r>
    </w:p>
    <w:p w14:paraId="125C5A7F">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lang w:val="en-US"/>
        </w:rPr>
        <w:t>4</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rPr>
        <w:t>实施工期要求：合同签订后，</w:t>
      </w:r>
      <w:r>
        <w:rPr>
          <w:rFonts w:hint="eastAsia" w:ascii="宋体" w:hAnsi="宋体" w:eastAsia="宋体" w:cs="宋体"/>
          <w:color w:val="auto"/>
          <w:sz w:val="24"/>
          <w:szCs w:val="24"/>
          <w:lang w:val="en-US" w:eastAsia="zh-CN"/>
        </w:rPr>
        <w:t>系统需在30</w:t>
      </w:r>
      <w:r>
        <w:rPr>
          <w:rFonts w:hint="eastAsia" w:ascii="宋体" w:hAnsi="宋体" w:eastAsia="宋体" w:cs="宋体"/>
          <w:color w:val="auto"/>
          <w:sz w:val="24"/>
          <w:szCs w:val="24"/>
          <w:lang w:val="en-US"/>
        </w:rPr>
        <w:t>个</w:t>
      </w:r>
      <w:r>
        <w:rPr>
          <w:rFonts w:hint="eastAsia" w:ascii="宋体" w:hAnsi="宋体" w:eastAsia="宋体" w:cs="宋体"/>
          <w:color w:val="auto"/>
          <w:sz w:val="24"/>
          <w:szCs w:val="24"/>
          <w:lang w:val="en-US" w:eastAsia="zh-CN"/>
        </w:rPr>
        <w:t>工作日</w:t>
      </w:r>
      <w:r>
        <w:rPr>
          <w:rFonts w:hint="eastAsia" w:ascii="宋体" w:hAnsi="宋体" w:eastAsia="宋体" w:cs="宋体"/>
          <w:color w:val="auto"/>
          <w:sz w:val="24"/>
          <w:szCs w:val="24"/>
          <w:lang w:val="en-US"/>
        </w:rPr>
        <w:t>内完成项目实施上线</w:t>
      </w:r>
      <w:r>
        <w:rPr>
          <w:rFonts w:hint="eastAsia" w:ascii="宋体" w:hAnsi="宋体" w:eastAsia="宋体" w:cs="宋体"/>
          <w:color w:val="auto"/>
          <w:sz w:val="24"/>
          <w:szCs w:val="24"/>
          <w:lang w:val="en-US" w:eastAsia="zh-CN"/>
        </w:rPr>
        <w:t>，请分别列出每个系统实施的工作计划及周期</w:t>
      </w:r>
      <w:r>
        <w:rPr>
          <w:rFonts w:hint="eastAsia" w:ascii="宋体" w:hAnsi="宋体" w:eastAsia="宋体" w:cs="宋体"/>
          <w:color w:val="auto"/>
          <w:sz w:val="24"/>
          <w:szCs w:val="24"/>
          <w:lang w:val="en-US"/>
        </w:rPr>
        <w:t>。</w:t>
      </w:r>
    </w:p>
    <w:p w14:paraId="2269AFD5">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4.2 </w:t>
      </w:r>
      <w:r>
        <w:rPr>
          <w:rFonts w:hint="eastAsia" w:ascii="宋体" w:hAnsi="宋体" w:eastAsia="宋体" w:cs="宋体"/>
          <w:color w:val="auto"/>
          <w:sz w:val="24"/>
          <w:szCs w:val="24"/>
        </w:rPr>
        <w:t>因厂商与院方存在对需求理解有差异的可能性，要求所有软件功能需求的响应以院方意见为准</w:t>
      </w:r>
      <w:r>
        <w:rPr>
          <w:rFonts w:hint="eastAsia" w:ascii="宋体" w:hAnsi="宋体" w:eastAsia="宋体" w:cs="宋体"/>
          <w:color w:val="auto"/>
          <w:sz w:val="24"/>
          <w:szCs w:val="24"/>
          <w:lang w:eastAsia="zh-CN"/>
        </w:rPr>
        <w:t>。</w:t>
      </w:r>
    </w:p>
    <w:p w14:paraId="649CBAA3">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培训要求：</w:t>
      </w:r>
    </w:p>
    <w:p w14:paraId="4299894F">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培训应至少包括但不限于：软硬件系统的安装、部署、维护方法、系统的功能使用培训；</w:t>
      </w:r>
    </w:p>
    <w:p w14:paraId="51AC512D">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color w:val="auto"/>
          <w:sz w:val="32"/>
          <w:szCs w:val="32"/>
        </w:rPr>
      </w:pPr>
      <w:r>
        <w:rPr>
          <w:rFonts w:hint="eastAsia" w:ascii="宋体" w:hAnsi="宋体"/>
          <w:bCs w:val="0"/>
          <w:color w:val="auto"/>
          <w:sz w:val="32"/>
          <w:szCs w:val="32"/>
        </w:rPr>
        <w:t>五、</w:t>
      </w:r>
      <w:r>
        <w:rPr>
          <w:rFonts w:hint="eastAsia" w:ascii="宋体" w:hAnsi="宋体"/>
          <w:bCs w:val="0"/>
          <w:color w:val="auto"/>
          <w:sz w:val="32"/>
          <w:szCs w:val="32"/>
          <w:lang w:eastAsia="zh-CN"/>
        </w:rPr>
        <w:t>售后</w:t>
      </w:r>
      <w:r>
        <w:rPr>
          <w:rFonts w:hint="eastAsia" w:ascii="宋体" w:hAnsi="宋体"/>
          <w:bCs w:val="0"/>
          <w:color w:val="auto"/>
          <w:sz w:val="32"/>
          <w:szCs w:val="32"/>
        </w:rPr>
        <w:t>服务及其他要求</w:t>
      </w:r>
    </w:p>
    <w:p w14:paraId="21A05FAA">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auto"/>
          <w:sz w:val="24"/>
          <w:szCs w:val="24"/>
        </w:rPr>
      </w:pPr>
      <w:r>
        <w:rPr>
          <w:rFonts w:hint="eastAsia" w:ascii="宋体" w:hAnsi="宋体" w:cs="宋体"/>
          <w:color w:val="auto"/>
          <w:sz w:val="24"/>
          <w:szCs w:val="24"/>
        </w:rPr>
        <w:t>5.1自本项目整体最终验收之日起，所有产品要求提供</w:t>
      </w:r>
      <w:r>
        <w:rPr>
          <w:rFonts w:hint="eastAsia" w:ascii="宋体" w:hAnsi="宋体" w:cs="宋体"/>
          <w:color w:val="auto"/>
          <w:sz w:val="24"/>
          <w:szCs w:val="24"/>
          <w:lang w:val="en-US" w:eastAsia="zh-CN"/>
        </w:rPr>
        <w:t>1</w:t>
      </w:r>
      <w:r>
        <w:rPr>
          <w:rFonts w:hint="eastAsia" w:ascii="宋体" w:hAnsi="宋体" w:cs="宋体"/>
          <w:color w:val="auto"/>
          <w:sz w:val="24"/>
          <w:szCs w:val="24"/>
        </w:rPr>
        <w:t>年的免费</w:t>
      </w:r>
      <w:r>
        <w:rPr>
          <w:rFonts w:hint="eastAsia" w:ascii="宋体" w:hAnsi="宋体" w:cs="宋体"/>
          <w:color w:val="auto"/>
          <w:sz w:val="24"/>
          <w:szCs w:val="24"/>
          <w:lang w:eastAsia="zh-CN"/>
        </w:rPr>
        <w:t>质</w:t>
      </w:r>
      <w:r>
        <w:rPr>
          <w:rFonts w:hint="eastAsia" w:ascii="宋体" w:hAnsi="宋体" w:cs="宋体"/>
          <w:color w:val="auto"/>
          <w:sz w:val="24"/>
          <w:szCs w:val="24"/>
        </w:rPr>
        <w:t>保服务。含软硬件维护和系统软件升级</w:t>
      </w:r>
      <w:r>
        <w:rPr>
          <w:rFonts w:hint="eastAsia" w:ascii="宋体" w:hAnsi="宋体" w:cs="宋体"/>
          <w:color w:val="auto"/>
          <w:sz w:val="24"/>
          <w:szCs w:val="24"/>
          <w:lang w:eastAsia="zh-CN"/>
        </w:rPr>
        <w:t>、系统</w:t>
      </w:r>
      <w:r>
        <w:rPr>
          <w:rFonts w:hint="eastAsia" w:ascii="宋体" w:hAnsi="宋体" w:cs="宋体"/>
          <w:color w:val="auto"/>
          <w:sz w:val="24"/>
          <w:szCs w:val="24"/>
          <w:lang w:val="en-US" w:eastAsia="zh-CN"/>
        </w:rPr>
        <w:t>BUG及漏洞修复</w:t>
      </w:r>
      <w:r>
        <w:rPr>
          <w:rFonts w:hint="eastAsia" w:ascii="宋体" w:hAnsi="宋体" w:cs="宋体"/>
          <w:color w:val="auto"/>
          <w:sz w:val="24"/>
          <w:szCs w:val="24"/>
        </w:rPr>
        <w:t>、技术支持服务、系统管理及操作培训</w:t>
      </w:r>
      <w:r>
        <w:rPr>
          <w:rFonts w:hint="eastAsia" w:ascii="宋体" w:hAnsi="宋体" w:cs="宋体"/>
          <w:color w:val="auto"/>
          <w:sz w:val="24"/>
          <w:szCs w:val="24"/>
          <w:lang w:eastAsia="zh-CN"/>
        </w:rPr>
        <w:t>服务</w:t>
      </w:r>
      <w:r>
        <w:rPr>
          <w:rFonts w:hint="eastAsia" w:ascii="宋体" w:hAnsi="宋体" w:cs="宋体"/>
          <w:color w:val="auto"/>
          <w:sz w:val="24"/>
          <w:szCs w:val="24"/>
        </w:rPr>
        <w:t>，免费提供系统个性化修改需求。</w:t>
      </w:r>
    </w:p>
    <w:p w14:paraId="40BBF477">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5.2安装调试要求：免费送货上门、安装调试、提供完善的设备及软件系统使用中文操作手册、图纸、网络详细拓扑图、系统配置、功能配置、设备配置及互联记录</w:t>
      </w:r>
      <w:r>
        <w:rPr>
          <w:rFonts w:hint="eastAsia" w:ascii="宋体" w:hAnsi="宋体" w:cs="宋体"/>
          <w:sz w:val="24"/>
          <w:szCs w:val="24"/>
          <w:lang w:eastAsia="zh-CN"/>
        </w:rPr>
        <w:t>。</w:t>
      </w:r>
    </w:p>
    <w:p w14:paraId="61E64848">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auto"/>
          <w:sz w:val="24"/>
          <w:szCs w:val="24"/>
        </w:rPr>
      </w:pPr>
      <w:r>
        <w:rPr>
          <w:rFonts w:hint="eastAsia" w:ascii="宋体" w:hAnsi="宋体" w:cs="宋体"/>
          <w:color w:val="auto"/>
          <w:sz w:val="24"/>
          <w:szCs w:val="24"/>
        </w:rPr>
        <w:t>5.3原厂技术人员免费提供</w:t>
      </w:r>
      <w:r>
        <w:rPr>
          <w:rFonts w:hint="eastAsia" w:ascii="宋体" w:hAnsi="宋体" w:cs="宋体"/>
          <w:color w:val="auto"/>
          <w:sz w:val="24"/>
          <w:szCs w:val="24"/>
          <w:lang w:eastAsia="zh-CN"/>
        </w:rPr>
        <w:t>售后</w:t>
      </w:r>
      <w:r>
        <w:rPr>
          <w:rFonts w:hint="eastAsia" w:ascii="宋体" w:hAnsi="宋体" w:cs="宋体"/>
          <w:color w:val="auto"/>
          <w:sz w:val="24"/>
          <w:szCs w:val="24"/>
        </w:rPr>
        <w:t>服务，含电话支持、现场响应、远程操作、网上客服中心等多种方式服务，应做到7×24小时全天候电话或微信等常用联系方式响应。</w:t>
      </w:r>
      <w:bookmarkStart w:id="1" w:name="_Toc507405798"/>
      <w:r>
        <w:rPr>
          <w:rFonts w:hint="eastAsia" w:ascii="宋体" w:hAnsi="宋体" w:cs="宋体"/>
          <w:color w:val="auto"/>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70F56AD4">
      <w:pPr>
        <w:pStyle w:val="10"/>
        <w:spacing w:line="360" w:lineRule="auto"/>
        <w:ind w:left="0" w:leftChars="0" w:firstLine="420" w:firstLineChars="0"/>
        <w:rPr>
          <w:rFonts w:hint="eastAsia" w:ascii="宋体" w:hAnsi="宋体" w:eastAsiaTheme="minorEastAsia"/>
          <w:color w:val="auto"/>
          <w:sz w:val="24"/>
          <w:szCs w:val="24"/>
          <w:lang w:val="en-US" w:eastAsia="zh-CN"/>
        </w:rPr>
      </w:pPr>
      <w:r>
        <w:rPr>
          <w:rFonts w:hint="eastAsia" w:ascii="宋体" w:hAnsi="宋体" w:eastAsia="宋体" w:cs="微软雅黑"/>
          <w:color w:val="auto"/>
          <w:sz w:val="24"/>
          <w:szCs w:val="24"/>
        </w:rPr>
        <w:t>5.4</w:t>
      </w:r>
      <w:r>
        <w:rPr>
          <w:rFonts w:hint="eastAsia" w:ascii="宋体" w:hAnsi="宋体" w:cs="宋体"/>
          <w:color w:val="auto"/>
          <w:sz w:val="24"/>
          <w:szCs w:val="24"/>
        </w:rPr>
        <w:t>供应商提供原厂技术人员定期</w:t>
      </w:r>
      <w:r>
        <w:rPr>
          <w:rFonts w:hint="eastAsia" w:ascii="宋体" w:hAnsi="宋体" w:cs="宋体"/>
          <w:color w:val="auto"/>
          <w:sz w:val="24"/>
          <w:szCs w:val="24"/>
          <w:lang w:eastAsia="zh-CN"/>
        </w:rPr>
        <w:t>巡检</w:t>
      </w:r>
      <w:r>
        <w:rPr>
          <w:rFonts w:hint="eastAsia" w:ascii="宋体" w:hAnsi="宋体" w:cs="宋体"/>
          <w:color w:val="auto"/>
          <w:sz w:val="24"/>
          <w:szCs w:val="24"/>
        </w:rPr>
        <w:t>服务，定期通过电话或其他方式访问用户，了解产品使用情况及网络安全情况</w:t>
      </w:r>
      <w:r>
        <w:rPr>
          <w:rFonts w:hint="eastAsia" w:ascii="宋体" w:hAnsi="宋体" w:cs="宋体"/>
          <w:color w:val="auto"/>
          <w:sz w:val="24"/>
          <w:szCs w:val="24"/>
          <w:lang w:eastAsia="zh-CN"/>
        </w:rPr>
        <w:t>。</w:t>
      </w:r>
    </w:p>
    <w:p w14:paraId="66894B70">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六、违约责任</w:t>
      </w:r>
    </w:p>
    <w:p w14:paraId="3A0418C2">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6.1投标方所提供的</w:t>
      </w:r>
      <w:r>
        <w:rPr>
          <w:rFonts w:hint="eastAsia" w:ascii="宋体" w:hAnsi="宋体" w:eastAsia="宋体" w:cs="宋体"/>
          <w:color w:val="auto"/>
          <w:sz w:val="24"/>
          <w:szCs w:val="24"/>
          <w:lang w:val="en-US" w:eastAsia="zh-CN"/>
        </w:rPr>
        <w:t>产品/软件</w:t>
      </w:r>
      <w:r>
        <w:rPr>
          <w:rFonts w:hint="eastAsia" w:ascii="宋体" w:hAnsi="宋体" w:eastAsia="宋体" w:cs="宋体"/>
          <w:color w:val="auto"/>
          <w:sz w:val="24"/>
          <w:szCs w:val="24"/>
        </w:rPr>
        <w:t>规格、技术标准、材料</w:t>
      </w:r>
      <w:r>
        <w:rPr>
          <w:rFonts w:hint="eastAsia" w:ascii="宋体" w:hAnsi="宋体" w:eastAsia="宋体" w:cs="宋体"/>
          <w:color w:val="auto"/>
          <w:sz w:val="24"/>
          <w:szCs w:val="24"/>
        </w:rPr>
        <w:t>等质量不合格的，应及时更换，更换不及时的按逾期交货</w:t>
      </w:r>
      <w:r>
        <w:rPr>
          <w:rFonts w:hint="eastAsia" w:ascii="宋体" w:hAnsi="宋体" w:eastAsia="宋体" w:cs="宋体"/>
          <w:color w:val="auto"/>
          <w:sz w:val="24"/>
          <w:szCs w:val="24"/>
          <w:lang w:val="en-US" w:eastAsia="zh-CN"/>
        </w:rPr>
        <w:t>/交付</w:t>
      </w:r>
      <w:r>
        <w:rPr>
          <w:rFonts w:hint="eastAsia" w:ascii="宋体" w:hAnsi="宋体" w:eastAsia="宋体" w:cs="宋体"/>
          <w:color w:val="auto"/>
          <w:sz w:val="24"/>
          <w:szCs w:val="24"/>
        </w:rPr>
        <w:t>处罚；因质量问题我院不同意接收，投标方应向我院支付违约货款额5%违约金并赔偿我院经济损失。</w:t>
      </w:r>
    </w:p>
    <w:p w14:paraId="5E08EEFA">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投标方提供的</w:t>
      </w:r>
      <w:r>
        <w:rPr>
          <w:rFonts w:hint="eastAsia" w:ascii="宋体" w:hAnsi="宋体" w:eastAsia="宋体" w:cs="宋体"/>
          <w:color w:val="auto"/>
          <w:sz w:val="24"/>
          <w:szCs w:val="24"/>
          <w:lang w:eastAsia="zh-CN"/>
        </w:rPr>
        <w:t>产品或软件</w:t>
      </w:r>
      <w:r>
        <w:rPr>
          <w:rFonts w:hint="eastAsia" w:ascii="宋体" w:hAnsi="宋体" w:eastAsia="宋体" w:cs="宋体"/>
          <w:color w:val="auto"/>
          <w:sz w:val="24"/>
          <w:szCs w:val="24"/>
        </w:rPr>
        <w:t>侵犯了第三方合法权益而引发的任何纠纷或诉讼，均由投标方负责交涉并承担全部责任。</w:t>
      </w:r>
    </w:p>
    <w:p w14:paraId="3162103F">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0937086E">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6.4</w:t>
      </w:r>
      <w:r>
        <w:rPr>
          <w:rFonts w:hint="eastAsia" w:ascii="宋体" w:hAnsi="宋体" w:eastAsia="宋体" w:cs="宋体"/>
          <w:color w:val="auto"/>
          <w:sz w:val="24"/>
        </w:rPr>
        <w:t> 投标方逾期交货</w:t>
      </w:r>
      <w:r>
        <w:rPr>
          <w:rFonts w:hint="eastAsia" w:ascii="宋体" w:hAnsi="宋体" w:eastAsia="宋体" w:cs="宋体"/>
          <w:color w:val="auto"/>
          <w:sz w:val="24"/>
          <w:lang w:val="en-US" w:eastAsia="zh-CN"/>
        </w:rPr>
        <w:t>/交付</w:t>
      </w:r>
      <w:r>
        <w:rPr>
          <w:rFonts w:hint="eastAsia" w:ascii="宋体" w:hAnsi="宋体" w:eastAsia="宋体" w:cs="宋体"/>
          <w:color w:val="auto"/>
          <w:sz w:val="24"/>
        </w:rPr>
        <w:t>的，每天向</w:t>
      </w:r>
      <w:r>
        <w:rPr>
          <w:rFonts w:hint="eastAsia" w:ascii="宋体" w:hAnsi="宋体" w:eastAsia="宋体" w:cs="宋体"/>
          <w:color w:val="auto"/>
          <w:sz w:val="24"/>
          <w:lang w:eastAsia="zh-CN"/>
        </w:rPr>
        <w:t>甲方</w:t>
      </w:r>
      <w:r>
        <w:rPr>
          <w:rFonts w:hint="eastAsia" w:ascii="宋体" w:hAnsi="宋体" w:eastAsia="宋体" w:cs="宋体"/>
          <w:color w:val="auto"/>
          <w:sz w:val="24"/>
        </w:rPr>
        <w:t>偿付违约货款额3‰违约金，但违约金累计不得超过违约货款额 5% ，超过30天对方有权解除合同，违约方承担因此给对方造成的经济损失；</w:t>
      </w:r>
    </w:p>
    <w:p w14:paraId="4DD46F1C">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6.5售后服务违约</w:t>
      </w:r>
      <w:r>
        <w:rPr>
          <w:rFonts w:hint="eastAsia" w:ascii="宋体" w:hAnsi="宋体" w:eastAsia="宋体" w:cs="宋体"/>
          <w:color w:val="auto"/>
          <w:sz w:val="24"/>
          <w:lang w:val="en-US" w:eastAsia="zh-CN"/>
        </w:rPr>
        <w:t>：</w:t>
      </w:r>
    </w:p>
    <w:p w14:paraId="6A255969">
      <w:pPr>
        <w:pStyle w:val="3"/>
        <w:pageBreakBefore w:val="0"/>
        <w:widowControl w:val="0"/>
        <w:kinsoku/>
        <w:wordWrap/>
        <w:overflowPunct/>
        <w:topLinePunct w:val="0"/>
        <w:autoSpaceDE/>
        <w:autoSpaceDN/>
        <w:bidi w:val="0"/>
        <w:adjustRightInd/>
        <w:snapToGrid/>
        <w:spacing w:after="0" w:line="312" w:lineRule="auto"/>
        <w:ind w:firstLine="420" w:firstLineChars="0"/>
        <w:textAlignment w:val="auto"/>
        <w:rPr>
          <w:rFonts w:ascii="宋体" w:hAnsi="宋体" w:eastAsia="宋体" w:cs="宋体"/>
          <w:color w:val="auto"/>
          <w:sz w:val="24"/>
          <w:lang w:val="en-US"/>
        </w:rPr>
      </w:pPr>
      <w:r>
        <w:rPr>
          <w:rFonts w:hint="eastAsia" w:ascii="宋体" w:hAnsi="宋体" w:eastAsia="宋体" w:cs="宋体"/>
          <w:color w:val="auto"/>
          <w:sz w:val="24"/>
          <w:lang w:val="en-US"/>
        </w:rPr>
        <w:t>6.5.</w:t>
      </w:r>
      <w:r>
        <w:rPr>
          <w:rFonts w:hint="eastAsia" w:ascii="宋体" w:hAnsi="宋体" w:eastAsia="宋体" w:cs="宋体"/>
          <w:color w:val="auto"/>
          <w:sz w:val="24"/>
          <w:lang w:val="en-US" w:eastAsia="zh-CN"/>
        </w:rPr>
        <w:t>1</w:t>
      </w:r>
      <w:r>
        <w:rPr>
          <w:rFonts w:hint="eastAsia" w:ascii="宋体" w:hAnsi="宋体" w:eastAsia="宋体" w:cs="宋体"/>
          <w:color w:val="auto"/>
          <w:sz w:val="24"/>
          <w:lang w:val="en-US"/>
        </w:rPr>
        <w:t>不能按本</w:t>
      </w:r>
      <w:r>
        <w:rPr>
          <w:rFonts w:hint="eastAsia" w:ascii="宋体" w:hAnsi="宋体" w:eastAsia="宋体" w:cs="宋体"/>
          <w:color w:val="auto"/>
          <w:sz w:val="24"/>
          <w:lang w:val="en-US" w:eastAsia="zh-CN"/>
        </w:rPr>
        <w:t>技术参数文档</w:t>
      </w:r>
      <w:r>
        <w:rPr>
          <w:rFonts w:hint="eastAsia" w:ascii="宋体" w:hAnsi="宋体" w:eastAsia="宋体" w:cs="宋体"/>
          <w:color w:val="auto"/>
          <w:sz w:val="24"/>
          <w:lang w:val="en-US"/>
        </w:rPr>
        <w:t>第5.3要求中按时提供设备备件的，故障上报24小时不能免费提供同档次或更高档次的备用设备解决问题，每超期一天，按500元/天</w:t>
      </w:r>
      <w:r>
        <w:rPr>
          <w:rFonts w:hint="eastAsia" w:ascii="宋体" w:hAnsi="宋体" w:eastAsia="宋体" w:cs="宋体"/>
          <w:color w:val="auto"/>
          <w:sz w:val="24"/>
          <w:lang w:val="en-US" w:eastAsia="zh-CN"/>
        </w:rPr>
        <w:t>向甲方</w:t>
      </w:r>
      <w:r>
        <w:rPr>
          <w:rFonts w:hint="eastAsia" w:ascii="宋体" w:hAnsi="宋体" w:eastAsia="宋体" w:cs="宋体"/>
          <w:color w:val="auto"/>
          <w:sz w:val="24"/>
          <w:lang w:val="en-US"/>
        </w:rPr>
        <w:t>支付违约金；</w:t>
      </w:r>
    </w:p>
    <w:p w14:paraId="53271A4B">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6.5.3 投标方未按本技术要求和响应文件中规定的其他服务承诺提供售后服务的，每次投标方应按合同合计金额的5%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14:paraId="7A8A371A">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rPr>
        <w:t>6.6合同签订后7个工作日</w:t>
      </w:r>
      <w:r>
        <w:rPr>
          <w:rFonts w:hint="eastAsia" w:ascii="宋体" w:hAnsi="宋体" w:eastAsia="宋体" w:cs="宋体"/>
          <w:color w:val="auto"/>
          <w:sz w:val="24"/>
        </w:rPr>
        <w:t>内进场实施，每个模块计划实施周期需在合同内写明。因</w:t>
      </w:r>
      <w:r>
        <w:rPr>
          <w:rFonts w:hint="eastAsia" w:ascii="宋体" w:hAnsi="宋体" w:eastAsia="宋体" w:cs="宋体"/>
          <w:color w:val="auto"/>
          <w:sz w:val="24"/>
          <w:lang w:eastAsia="zh-CN"/>
        </w:rPr>
        <w:t>软件提供商</w:t>
      </w:r>
      <w:r>
        <w:rPr>
          <w:rFonts w:hint="eastAsia" w:ascii="宋体" w:hAnsi="宋体" w:eastAsia="宋体" w:cs="宋体"/>
          <w:color w:val="auto"/>
          <w:sz w:val="24"/>
        </w:rPr>
        <w:t>原因逾期不进场实施的，需按每天向院方支付合同款金额3‰作为违约金</w:t>
      </w:r>
      <w:r>
        <w:rPr>
          <w:rFonts w:hint="eastAsia" w:ascii="宋体" w:hAnsi="宋体" w:eastAsia="宋体" w:cs="宋体"/>
          <w:color w:val="auto"/>
          <w:sz w:val="24"/>
          <w:lang w:eastAsia="zh-CN"/>
        </w:rPr>
        <w:t>，</w:t>
      </w:r>
      <w:r>
        <w:rPr>
          <w:rFonts w:hint="eastAsia" w:ascii="宋体" w:hAnsi="宋体" w:eastAsia="宋体" w:cs="宋体"/>
          <w:color w:val="auto"/>
          <w:sz w:val="24"/>
        </w:rPr>
        <w:t>超过30天，</w:t>
      </w:r>
      <w:r>
        <w:rPr>
          <w:rFonts w:hint="eastAsia" w:ascii="宋体" w:hAnsi="宋体" w:eastAsia="宋体" w:cs="宋体"/>
          <w:color w:val="auto"/>
          <w:sz w:val="24"/>
          <w:lang w:eastAsia="zh-CN"/>
        </w:rPr>
        <w:t>甲</w:t>
      </w:r>
      <w:r>
        <w:rPr>
          <w:rFonts w:hint="eastAsia" w:ascii="宋体" w:hAnsi="宋体" w:eastAsia="宋体" w:cs="宋体"/>
          <w:color w:val="auto"/>
          <w:sz w:val="24"/>
        </w:rPr>
        <w:t>有权解除合同，</w:t>
      </w:r>
      <w:r>
        <w:rPr>
          <w:rFonts w:hint="eastAsia" w:ascii="宋体" w:hAnsi="宋体" w:eastAsia="宋体" w:cs="宋体"/>
          <w:color w:val="auto"/>
          <w:sz w:val="24"/>
          <w:lang w:eastAsia="zh-CN"/>
        </w:rPr>
        <w:t>乙方</w:t>
      </w:r>
      <w:r>
        <w:rPr>
          <w:rFonts w:hint="eastAsia" w:ascii="宋体" w:hAnsi="宋体" w:eastAsia="宋体" w:cs="宋体"/>
          <w:color w:val="auto"/>
          <w:sz w:val="24"/>
        </w:rPr>
        <w:t>需承担因此给院方造成的经济损失；</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14:paraId="47ADDD18">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6.7任何一方违反本技术要求中“保密、廉洁条款”要求的，应承担相应的违约责任并赔偿由此造成的损失，损失累计金额超过合同款项的5%的，损失方同时有权终止合同并收回已付款项。</w:t>
      </w:r>
    </w:p>
    <w:p w14:paraId="59DB4CE7">
      <w:pPr>
        <w:pStyle w:val="3"/>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8厂商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lang w:val="en-US" w:eastAsia="zh-CN"/>
        </w:rPr>
        <w:t>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14:paraId="2C47A9B4">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6.9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14:paraId="72CE82AA">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bookmarkStart w:id="2" w:name="_Toc507405799"/>
      <w:bookmarkStart w:id="3" w:name="_Toc507405800"/>
      <w:r>
        <w:rPr>
          <w:rFonts w:hint="eastAsia" w:ascii="宋体" w:hAnsi="宋体" w:eastAsia="宋体" w:cs="宋体"/>
          <w:b/>
          <w:bCs/>
          <w:color w:val="auto"/>
          <w:sz w:val="28"/>
          <w:lang w:val="en-US"/>
        </w:rPr>
        <w:t>七、保密、廉洁协议</w:t>
      </w:r>
    </w:p>
    <w:p w14:paraId="243D6BDF">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3EE09839">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双方不得以任何方式向第三方泄露本项目的软件技术、设计方案以及功能配置等内容。</w:t>
      </w:r>
    </w:p>
    <w:p w14:paraId="4F3A3522">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7.3不以任何方式向第三方泄露在本协议开发实施过程中获取的经济、技术、数据以及双方其他非公开的信息。</w:t>
      </w:r>
    </w:p>
    <w:p w14:paraId="15064500">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2895A401">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7.5保密期限自本合同生效之日起永久有效，如乙方需解除保密协议需向甲方提出书面申请，双方协商同意签字确认后方可解除。</w:t>
      </w:r>
    </w:p>
    <w:p w14:paraId="2A6BCA81">
      <w:pPr>
        <w:pStyle w:val="3"/>
        <w:pageBreakBefore w:val="0"/>
        <w:widowControl w:val="0"/>
        <w:kinsoku/>
        <w:wordWrap/>
        <w:overflowPunct/>
        <w:topLinePunct w:val="0"/>
        <w:autoSpaceDE/>
        <w:autoSpaceDN/>
        <w:bidi w:val="0"/>
        <w:adjustRightInd/>
        <w:snapToGrid/>
        <w:spacing w:after="0" w:line="312" w:lineRule="auto"/>
        <w:textAlignment w:val="auto"/>
        <w:rPr>
          <w:color w:val="auto"/>
          <w:lang w:val="en-US"/>
        </w:rPr>
      </w:pPr>
    </w:p>
    <w:p w14:paraId="1371A7D6">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八、报价</w:t>
      </w:r>
    </w:p>
    <w:p w14:paraId="522C3F82">
      <w:pPr>
        <w:pStyle w:val="3"/>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w:t>
      </w:r>
      <w:r>
        <w:rPr>
          <w:rFonts w:hint="eastAsia" w:ascii="宋体" w:hAnsi="宋体" w:eastAsia="宋体" w:cs="宋体"/>
          <w:color w:val="auto"/>
          <w:sz w:val="24"/>
          <w:szCs w:val="24"/>
        </w:rPr>
        <w:t>竞标文件</w:t>
      </w:r>
      <w:r>
        <w:rPr>
          <w:rFonts w:hint="eastAsia" w:ascii="宋体" w:hAnsi="宋体" w:eastAsia="宋体" w:cs="宋体"/>
          <w:color w:val="auto"/>
          <w:sz w:val="24"/>
          <w:szCs w:val="24"/>
          <w:lang w:eastAsia="zh-CN"/>
        </w:rPr>
        <w:t>提供技术偏离表、服务偏离表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并标明详细的技术和服务内容。</w:t>
      </w:r>
      <w:r>
        <w:rPr>
          <w:rFonts w:hint="eastAsia" w:ascii="宋体" w:hAnsi="宋体" w:eastAsia="宋体" w:cs="宋体"/>
          <w:color w:val="auto"/>
          <w:sz w:val="24"/>
          <w:szCs w:val="24"/>
        </w:rPr>
        <w:t>竞标文件按系统模块报价，报价表价格包含系统软硬件费用、产品安装、调试实施、培训费用、产品升级费用</w:t>
      </w:r>
      <w:r>
        <w:rPr>
          <w:rFonts w:hint="eastAsia" w:ascii="宋体" w:hAnsi="宋体" w:eastAsia="宋体" w:cs="宋体"/>
          <w:color w:val="auto"/>
          <w:sz w:val="24"/>
          <w:szCs w:val="24"/>
          <w:lang w:eastAsia="zh-CN"/>
        </w:rPr>
        <w:t>、</w:t>
      </w:r>
      <w:r>
        <w:rPr>
          <w:rFonts w:hint="eastAsia" w:ascii="宋体" w:hAnsi="宋体" w:eastAsia="宋体"/>
          <w:color w:val="auto"/>
          <w:sz w:val="24"/>
          <w:szCs w:val="24"/>
        </w:rPr>
        <w:t>接口费（包括第三方厂家的接口费）等费用</w:t>
      </w:r>
      <w:r>
        <w:rPr>
          <w:rFonts w:hint="eastAsia" w:ascii="宋体" w:hAnsi="宋体" w:eastAsia="宋体" w:cs="宋体"/>
          <w:color w:val="auto"/>
          <w:sz w:val="24"/>
          <w:szCs w:val="24"/>
        </w:rPr>
        <w:t>，以及明示所有责任、义务和一切风险。</w:t>
      </w:r>
    </w:p>
    <w:p w14:paraId="7C699D68">
      <w:pPr>
        <w:pStyle w:val="3"/>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w:t>
      </w:r>
      <w:r>
        <w:rPr>
          <w:rFonts w:hint="eastAsia" w:ascii="宋体" w:hAnsi="宋体" w:eastAsia="宋体" w:cs="宋体"/>
          <w:color w:val="auto"/>
          <w:sz w:val="24"/>
          <w:szCs w:val="24"/>
          <w:lang w:eastAsia="zh-CN"/>
        </w:rPr>
        <w:t>竞标文件需提供</w:t>
      </w:r>
      <w:r>
        <w:rPr>
          <w:rFonts w:hint="eastAsia" w:ascii="宋体" w:hAnsi="宋体" w:cs="宋体"/>
          <w:sz w:val="24"/>
          <w:szCs w:val="24"/>
          <w:lang w:eastAsia="zh-CN"/>
        </w:rPr>
        <w:t>维保期</w:t>
      </w:r>
      <w:r>
        <w:rPr>
          <w:rFonts w:hint="eastAsia" w:ascii="宋体" w:hAnsi="宋体" w:cs="宋体"/>
          <w:sz w:val="24"/>
          <w:szCs w:val="24"/>
        </w:rPr>
        <w:t>方案及</w:t>
      </w:r>
      <w:r>
        <w:rPr>
          <w:rFonts w:hint="eastAsia" w:ascii="宋体" w:hAnsi="宋体" w:cs="宋体"/>
          <w:sz w:val="24"/>
          <w:szCs w:val="24"/>
          <w:lang w:eastAsia="zh-CN"/>
        </w:rPr>
        <w:t>报价</w:t>
      </w:r>
      <w:r>
        <w:rPr>
          <w:rFonts w:hint="eastAsia" w:ascii="宋体" w:hAnsi="宋体" w:eastAsia="宋体" w:cs="宋体"/>
          <w:color w:val="auto"/>
          <w:sz w:val="24"/>
          <w:szCs w:val="24"/>
          <w:lang w:eastAsia="zh-CN"/>
        </w:rPr>
        <w:t>。</w:t>
      </w:r>
    </w:p>
    <w:p w14:paraId="1221B685">
      <w:pPr>
        <w:pStyle w:val="3"/>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eastAsia="zh-CN"/>
        </w:rPr>
        <w:t>竞标文件需提供系统详细图文介绍。系统实施验收参照本技术文档及竞标文件提供的图文介绍为依据。</w:t>
      </w:r>
    </w:p>
    <w:p w14:paraId="3F71FC4B">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rPr>
        <w:t>如项目功能二次开发内容涉及我院采购的第三方产品，请在标书内标明哪些功能的实现需要二次开发接口。</w:t>
      </w:r>
    </w:p>
    <w:p w14:paraId="289FF984">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九、付款方式</w:t>
      </w:r>
      <w:bookmarkEnd w:id="2"/>
    </w:p>
    <w:bookmarkEnd w:id="3"/>
    <w:p w14:paraId="73603960">
      <w:pPr>
        <w:pStyle w:val="10"/>
        <w:spacing w:line="360" w:lineRule="auto"/>
        <w:ind w:left="0" w:leftChars="0" w:firstLine="614" w:firstLineChars="256"/>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项目双方签订合同，合同中的所有模块实施完毕，系统上线稳定运行1个月后，启动项目验收，验收合格后甲方支付合同款项的90%；自项目验收合格之日起，稳定运行1年后，甲方支付合同款项的10%（不计利息）。</w:t>
      </w:r>
    </w:p>
    <w:p w14:paraId="28D724AC">
      <w:pPr>
        <w:pStyle w:val="10"/>
        <w:spacing w:line="360" w:lineRule="auto"/>
        <w:ind w:left="0" w:leftChars="0" w:firstLine="614" w:firstLineChars="256"/>
        <w:jc w:val="both"/>
        <w:rPr>
          <w:rFonts w:hint="eastAsia" w:ascii="宋体" w:hAnsi="宋体" w:eastAsia="宋体"/>
          <w:color w:val="auto"/>
          <w:sz w:val="24"/>
          <w:szCs w:val="24"/>
          <w:lang w:val="en-US" w:eastAsia="zh-CN"/>
        </w:rPr>
        <w:sectPr>
          <w:pgSz w:w="11906" w:h="16838"/>
          <w:pgMar w:top="1440" w:right="1800" w:bottom="1440" w:left="1800" w:header="851" w:footer="992" w:gutter="0"/>
          <w:cols w:space="425" w:num="1"/>
          <w:docGrid w:type="lines" w:linePitch="312" w:charSpace="0"/>
        </w:sectPr>
      </w:pPr>
    </w:p>
    <w:p w14:paraId="571F8AF6">
      <w:pPr>
        <w:pStyle w:val="10"/>
        <w:spacing w:line="360" w:lineRule="auto"/>
        <w:ind w:left="0" w:leftChars="0" w:firstLine="0" w:firstLineChars="0"/>
        <w:jc w:val="both"/>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附件1</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735"/>
        <w:gridCol w:w="1110"/>
        <w:gridCol w:w="2190"/>
        <w:gridCol w:w="660"/>
        <w:gridCol w:w="1125"/>
        <w:gridCol w:w="2092"/>
      </w:tblGrid>
      <w:tr w14:paraId="3FB5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7C1BC574">
            <w:pPr>
              <w:pStyle w:val="10"/>
              <w:spacing w:line="360" w:lineRule="auto"/>
              <w:ind w:left="0" w:leftChars="0" w:firstLine="0" w:firstLineChars="0"/>
              <w:jc w:val="left"/>
              <w:rPr>
                <w:rFonts w:hint="default"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分类</w:t>
            </w:r>
          </w:p>
        </w:tc>
        <w:tc>
          <w:tcPr>
            <w:tcW w:w="735" w:type="dxa"/>
            <w:vAlign w:val="center"/>
          </w:tcPr>
          <w:p w14:paraId="54FAE3C7">
            <w:pPr>
              <w:pStyle w:val="10"/>
              <w:spacing w:line="360" w:lineRule="auto"/>
              <w:ind w:left="0" w:leftChars="0" w:firstLine="0" w:firstLineChars="0"/>
              <w:jc w:val="left"/>
              <w:rPr>
                <w:rFonts w:hint="default"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学科</w:t>
            </w:r>
          </w:p>
        </w:tc>
        <w:tc>
          <w:tcPr>
            <w:tcW w:w="1110" w:type="dxa"/>
            <w:vAlign w:val="center"/>
          </w:tcPr>
          <w:p w14:paraId="16A24E04">
            <w:pPr>
              <w:pStyle w:val="10"/>
              <w:spacing w:line="360" w:lineRule="auto"/>
              <w:ind w:left="0" w:leftChars="0" w:firstLine="0" w:firstLineChars="0"/>
              <w:jc w:val="left"/>
              <w:rPr>
                <w:rFonts w:hint="default"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授课形式</w:t>
            </w:r>
          </w:p>
        </w:tc>
        <w:tc>
          <w:tcPr>
            <w:tcW w:w="2190" w:type="dxa"/>
            <w:vAlign w:val="center"/>
          </w:tcPr>
          <w:p w14:paraId="4D86BC84">
            <w:pPr>
              <w:pStyle w:val="10"/>
              <w:spacing w:line="360" w:lineRule="auto"/>
              <w:ind w:left="0" w:leftChars="0" w:firstLine="0" w:firstLineChars="0"/>
              <w:jc w:val="left"/>
              <w:rPr>
                <w:rFonts w:hint="default"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课程名称</w:t>
            </w:r>
          </w:p>
        </w:tc>
        <w:tc>
          <w:tcPr>
            <w:tcW w:w="660" w:type="dxa"/>
            <w:vAlign w:val="center"/>
          </w:tcPr>
          <w:p w14:paraId="18B8228A">
            <w:pPr>
              <w:pStyle w:val="10"/>
              <w:spacing w:line="360" w:lineRule="auto"/>
              <w:ind w:left="0" w:leftChars="0" w:firstLine="0" w:firstLineChars="0"/>
              <w:jc w:val="left"/>
              <w:rPr>
                <w:rFonts w:hint="default"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学时</w:t>
            </w:r>
          </w:p>
        </w:tc>
        <w:tc>
          <w:tcPr>
            <w:tcW w:w="1125" w:type="dxa"/>
            <w:vAlign w:val="center"/>
          </w:tcPr>
          <w:p w14:paraId="7C2D24C7">
            <w:pPr>
              <w:pStyle w:val="10"/>
              <w:spacing w:line="360" w:lineRule="auto"/>
              <w:ind w:left="0" w:leftChars="0" w:firstLine="0" w:firstLineChars="0"/>
              <w:jc w:val="left"/>
              <w:rPr>
                <w:rFonts w:hint="default"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授课老师</w:t>
            </w:r>
          </w:p>
        </w:tc>
        <w:tc>
          <w:tcPr>
            <w:tcW w:w="2092" w:type="dxa"/>
            <w:vAlign w:val="center"/>
          </w:tcPr>
          <w:p w14:paraId="3A2B7573">
            <w:pPr>
              <w:pStyle w:val="10"/>
              <w:spacing w:line="360" w:lineRule="auto"/>
              <w:ind w:left="0" w:leftChars="0" w:firstLine="0" w:firstLineChars="0"/>
              <w:jc w:val="left"/>
              <w:rPr>
                <w:rFonts w:hint="default"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工作单位</w:t>
            </w:r>
          </w:p>
        </w:tc>
      </w:tr>
      <w:tr w14:paraId="153B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014" w:type="dxa"/>
            <w:vAlign w:val="top"/>
          </w:tcPr>
          <w:p w14:paraId="08CA72E4">
            <w:pPr>
              <w:pStyle w:val="10"/>
              <w:spacing w:line="360" w:lineRule="auto"/>
              <w:ind w:left="0" w:leftChars="0" w:firstLine="0" w:firstLineChars="0"/>
              <w:jc w:val="center"/>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临床带教</w:t>
            </w:r>
          </w:p>
        </w:tc>
        <w:tc>
          <w:tcPr>
            <w:tcW w:w="735" w:type="dxa"/>
          </w:tcPr>
          <w:p w14:paraId="107BCBD5">
            <w:pPr>
              <w:pStyle w:val="10"/>
              <w:spacing w:line="360" w:lineRule="auto"/>
              <w:ind w:left="0" w:leftChars="0" w:firstLine="0" w:firstLineChars="0"/>
              <w:jc w:val="both"/>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通用</w:t>
            </w:r>
          </w:p>
        </w:tc>
        <w:tc>
          <w:tcPr>
            <w:tcW w:w="1110" w:type="dxa"/>
          </w:tcPr>
          <w:p w14:paraId="7298D5FB">
            <w:pPr>
              <w:pStyle w:val="10"/>
              <w:spacing w:line="360" w:lineRule="auto"/>
              <w:ind w:left="0" w:leftChars="0" w:firstLine="0" w:firstLineChars="0"/>
              <w:jc w:val="both"/>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理论讲解</w:t>
            </w:r>
          </w:p>
        </w:tc>
        <w:tc>
          <w:tcPr>
            <w:tcW w:w="2190" w:type="dxa"/>
          </w:tcPr>
          <w:p w14:paraId="3565D794">
            <w:pPr>
              <w:pStyle w:val="10"/>
              <w:spacing w:line="360" w:lineRule="auto"/>
              <w:ind w:left="0" w:leftChars="0" w:firstLine="0" w:firstLineChars="0"/>
              <w:jc w:val="both"/>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如何做好住培临床带教</w:t>
            </w:r>
          </w:p>
        </w:tc>
        <w:tc>
          <w:tcPr>
            <w:tcW w:w="660" w:type="dxa"/>
          </w:tcPr>
          <w:p w14:paraId="532D8291">
            <w:pPr>
              <w:pStyle w:val="10"/>
              <w:spacing w:line="360" w:lineRule="auto"/>
              <w:ind w:left="0" w:leftChars="0" w:firstLine="0" w:firstLineChars="0"/>
              <w:jc w:val="both"/>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tcPr>
          <w:p w14:paraId="683AB259">
            <w:pPr>
              <w:pStyle w:val="10"/>
              <w:spacing w:line="360" w:lineRule="auto"/>
              <w:ind w:left="0" w:leftChars="0" w:firstLine="0" w:firstLineChars="0"/>
              <w:jc w:val="both"/>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王亚军</w:t>
            </w:r>
          </w:p>
        </w:tc>
        <w:tc>
          <w:tcPr>
            <w:tcW w:w="2092" w:type="dxa"/>
          </w:tcPr>
          <w:p w14:paraId="16CC09DF">
            <w:pPr>
              <w:pStyle w:val="10"/>
              <w:spacing w:line="360" w:lineRule="auto"/>
              <w:ind w:left="0" w:leftChars="0" w:firstLine="0" w:firstLineChars="0"/>
              <w:jc w:val="both"/>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首都医科大学宣武医院</w:t>
            </w:r>
          </w:p>
        </w:tc>
      </w:tr>
      <w:tr w14:paraId="3F9F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014" w:type="dxa"/>
            <w:vAlign w:val="top"/>
          </w:tcPr>
          <w:p w14:paraId="334B60DA">
            <w:pPr>
              <w:pStyle w:val="10"/>
              <w:spacing w:line="360" w:lineRule="auto"/>
              <w:ind w:left="0" w:leftChars="0" w:firstLine="0" w:firstLineChars="0"/>
              <w:jc w:val="center"/>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教学活动</w:t>
            </w:r>
            <w:r>
              <w:rPr>
                <w:rFonts w:hint="eastAsia" w:ascii="宋体" w:hAnsi="宋体" w:eastAsia="宋体"/>
                <w:b w:val="0"/>
                <w:bCs w:val="0"/>
                <w:color w:val="auto"/>
                <w:sz w:val="18"/>
                <w:szCs w:val="18"/>
                <w:vertAlign w:val="baseline"/>
                <w:lang w:val="en-US" w:eastAsia="zh-CN"/>
              </w:rPr>
              <w:t>指南</w:t>
            </w:r>
          </w:p>
        </w:tc>
        <w:tc>
          <w:tcPr>
            <w:tcW w:w="735" w:type="dxa"/>
          </w:tcPr>
          <w:p w14:paraId="57683B8E">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通用</w:t>
            </w:r>
          </w:p>
        </w:tc>
        <w:tc>
          <w:tcPr>
            <w:tcW w:w="1110" w:type="dxa"/>
          </w:tcPr>
          <w:p w14:paraId="5D99DEF8">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理论讲解</w:t>
            </w:r>
          </w:p>
        </w:tc>
        <w:tc>
          <w:tcPr>
            <w:tcW w:w="2190" w:type="dxa"/>
          </w:tcPr>
          <w:p w14:paraId="11402498">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教学病例讨论流程精解和教案设计关键点</w:t>
            </w:r>
          </w:p>
        </w:tc>
        <w:tc>
          <w:tcPr>
            <w:tcW w:w="660" w:type="dxa"/>
          </w:tcPr>
          <w:p w14:paraId="799A5B9E">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2</w:t>
            </w:r>
          </w:p>
        </w:tc>
        <w:tc>
          <w:tcPr>
            <w:tcW w:w="1125" w:type="dxa"/>
          </w:tcPr>
          <w:p w14:paraId="1933E1E7">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刘继海</w:t>
            </w:r>
          </w:p>
        </w:tc>
        <w:tc>
          <w:tcPr>
            <w:tcW w:w="2092" w:type="dxa"/>
          </w:tcPr>
          <w:p w14:paraId="27287527">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北京协和医院</w:t>
            </w:r>
          </w:p>
        </w:tc>
      </w:tr>
      <w:tr w14:paraId="3C67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10B52211">
            <w:pPr>
              <w:pStyle w:val="10"/>
              <w:spacing w:line="360" w:lineRule="auto"/>
              <w:ind w:left="0" w:leftChars="0" w:firstLine="0" w:firstLineChars="0"/>
              <w:jc w:val="center"/>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教学活动</w:t>
            </w:r>
            <w:r>
              <w:rPr>
                <w:rFonts w:hint="eastAsia" w:ascii="宋体" w:hAnsi="宋体" w:eastAsia="宋体"/>
                <w:b w:val="0"/>
                <w:bCs w:val="0"/>
                <w:color w:val="auto"/>
                <w:sz w:val="18"/>
                <w:szCs w:val="18"/>
                <w:vertAlign w:val="baseline"/>
                <w:lang w:val="en-US" w:eastAsia="zh-CN"/>
              </w:rPr>
              <w:t>指南</w:t>
            </w:r>
          </w:p>
        </w:tc>
        <w:tc>
          <w:tcPr>
            <w:tcW w:w="735" w:type="dxa"/>
            <w:shd w:val="clear" w:color="auto" w:fill="auto"/>
            <w:vAlign w:val="top"/>
          </w:tcPr>
          <w:p w14:paraId="68E17A2A">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66718E3F">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理论讲解</w:t>
            </w:r>
          </w:p>
        </w:tc>
        <w:tc>
          <w:tcPr>
            <w:tcW w:w="2190" w:type="dxa"/>
          </w:tcPr>
          <w:p w14:paraId="68400824">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如何上好临床小讲课</w:t>
            </w:r>
          </w:p>
        </w:tc>
        <w:tc>
          <w:tcPr>
            <w:tcW w:w="660" w:type="dxa"/>
          </w:tcPr>
          <w:p w14:paraId="2613D1C1">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1.5</w:t>
            </w:r>
          </w:p>
        </w:tc>
        <w:tc>
          <w:tcPr>
            <w:tcW w:w="1125" w:type="dxa"/>
          </w:tcPr>
          <w:p w14:paraId="0D5BE3C5">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谢小洁</w:t>
            </w:r>
          </w:p>
        </w:tc>
        <w:tc>
          <w:tcPr>
            <w:tcW w:w="2092" w:type="dxa"/>
          </w:tcPr>
          <w:p w14:paraId="17D1077A">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浙江大学医学院附属第二医院</w:t>
            </w:r>
          </w:p>
        </w:tc>
      </w:tr>
      <w:tr w14:paraId="6ACA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5FC92028">
            <w:pPr>
              <w:pStyle w:val="10"/>
              <w:spacing w:line="360" w:lineRule="auto"/>
              <w:ind w:left="0" w:leftChars="0" w:firstLine="0" w:firstLineChars="0"/>
              <w:jc w:val="center"/>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教学活动</w:t>
            </w:r>
            <w:r>
              <w:rPr>
                <w:rFonts w:hint="eastAsia" w:ascii="宋体" w:hAnsi="宋体" w:eastAsia="宋体"/>
                <w:b w:val="0"/>
                <w:bCs w:val="0"/>
                <w:color w:val="auto"/>
                <w:sz w:val="18"/>
                <w:szCs w:val="18"/>
                <w:vertAlign w:val="baseline"/>
                <w:lang w:val="en-US" w:eastAsia="zh-CN"/>
              </w:rPr>
              <w:t>指南</w:t>
            </w:r>
          </w:p>
        </w:tc>
        <w:tc>
          <w:tcPr>
            <w:tcW w:w="735" w:type="dxa"/>
            <w:shd w:val="clear" w:color="auto" w:fill="auto"/>
            <w:vAlign w:val="top"/>
          </w:tcPr>
          <w:p w14:paraId="4A6E627C">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0732703B">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理论讲解</w:t>
            </w:r>
          </w:p>
        </w:tc>
        <w:tc>
          <w:tcPr>
            <w:tcW w:w="2190" w:type="dxa"/>
          </w:tcPr>
          <w:p w14:paraId="4D5AAFA9">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住院病历书写指导指南示例-“一对多”模式</w:t>
            </w:r>
          </w:p>
        </w:tc>
        <w:tc>
          <w:tcPr>
            <w:tcW w:w="660" w:type="dxa"/>
          </w:tcPr>
          <w:p w14:paraId="4E9F2C31">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tcPr>
          <w:p w14:paraId="00B71D73">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阮恒超</w:t>
            </w:r>
          </w:p>
        </w:tc>
        <w:tc>
          <w:tcPr>
            <w:tcW w:w="2092" w:type="dxa"/>
          </w:tcPr>
          <w:p w14:paraId="0AB74B7D">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浙江大学医学院</w:t>
            </w:r>
          </w:p>
        </w:tc>
      </w:tr>
      <w:tr w14:paraId="3DFB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3D814DF2">
            <w:pPr>
              <w:pStyle w:val="10"/>
              <w:spacing w:line="360" w:lineRule="auto"/>
              <w:ind w:left="0" w:leftChars="0" w:firstLine="0" w:firstLineChars="0"/>
              <w:jc w:val="center"/>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教学活动</w:t>
            </w:r>
            <w:r>
              <w:rPr>
                <w:rFonts w:hint="eastAsia" w:ascii="宋体" w:hAnsi="宋体" w:eastAsia="宋体"/>
                <w:b w:val="0"/>
                <w:bCs w:val="0"/>
                <w:color w:val="auto"/>
                <w:sz w:val="18"/>
                <w:szCs w:val="18"/>
                <w:vertAlign w:val="baseline"/>
                <w:lang w:val="en-US" w:eastAsia="zh-CN"/>
              </w:rPr>
              <w:t>指南</w:t>
            </w:r>
          </w:p>
        </w:tc>
        <w:tc>
          <w:tcPr>
            <w:tcW w:w="735" w:type="dxa"/>
            <w:shd w:val="clear" w:color="auto" w:fill="auto"/>
            <w:vAlign w:val="top"/>
          </w:tcPr>
          <w:p w14:paraId="2AE35212">
            <w:pPr>
              <w:pStyle w:val="10"/>
              <w:spacing w:line="360" w:lineRule="auto"/>
              <w:ind w:left="0" w:leftChars="0" w:firstLine="0" w:firstLineChars="0"/>
              <w:jc w:val="left"/>
              <w:rPr>
                <w:rFonts w:hint="eastAsia"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796BF110">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理论讲解</w:t>
            </w:r>
          </w:p>
        </w:tc>
        <w:tc>
          <w:tcPr>
            <w:tcW w:w="2190" w:type="dxa"/>
          </w:tcPr>
          <w:p w14:paraId="662D670E">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360度评估指南（2022年版）解读</w:t>
            </w:r>
          </w:p>
        </w:tc>
        <w:tc>
          <w:tcPr>
            <w:tcW w:w="660" w:type="dxa"/>
          </w:tcPr>
          <w:p w14:paraId="60D372E8">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0.5</w:t>
            </w:r>
          </w:p>
        </w:tc>
        <w:tc>
          <w:tcPr>
            <w:tcW w:w="1125" w:type="dxa"/>
          </w:tcPr>
          <w:p w14:paraId="63C81E05">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刘婧</w:t>
            </w:r>
          </w:p>
        </w:tc>
        <w:tc>
          <w:tcPr>
            <w:tcW w:w="2092" w:type="dxa"/>
          </w:tcPr>
          <w:p w14:paraId="64B7FD16">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北京大学人民医院</w:t>
            </w:r>
          </w:p>
        </w:tc>
      </w:tr>
      <w:tr w14:paraId="5992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1354D40F">
            <w:pPr>
              <w:pStyle w:val="10"/>
              <w:spacing w:line="360" w:lineRule="auto"/>
              <w:ind w:left="0" w:leftChars="0" w:firstLine="0" w:firstLineChars="0"/>
              <w:jc w:val="center"/>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教学活动</w:t>
            </w:r>
            <w:r>
              <w:rPr>
                <w:rFonts w:hint="eastAsia" w:ascii="宋体" w:hAnsi="宋体" w:eastAsia="宋体"/>
                <w:b w:val="0"/>
                <w:bCs w:val="0"/>
                <w:color w:val="auto"/>
                <w:sz w:val="18"/>
                <w:szCs w:val="18"/>
                <w:vertAlign w:val="baseline"/>
                <w:lang w:val="en-US" w:eastAsia="zh-CN"/>
              </w:rPr>
              <w:t>指南</w:t>
            </w:r>
          </w:p>
        </w:tc>
        <w:tc>
          <w:tcPr>
            <w:tcW w:w="735" w:type="dxa"/>
            <w:shd w:val="clear" w:color="auto" w:fill="auto"/>
            <w:vAlign w:val="top"/>
          </w:tcPr>
          <w:p w14:paraId="4F9A3344">
            <w:pPr>
              <w:pStyle w:val="10"/>
              <w:spacing w:line="360" w:lineRule="auto"/>
              <w:ind w:left="0" w:leftChars="0" w:firstLine="0" w:firstLineChars="0"/>
              <w:jc w:val="left"/>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6CDC5F8D">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理论讲解</w:t>
            </w:r>
          </w:p>
        </w:tc>
        <w:tc>
          <w:tcPr>
            <w:tcW w:w="2190" w:type="dxa"/>
          </w:tcPr>
          <w:p w14:paraId="0A22DA4F">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Mini-CEX评估指南（2022年版）解读</w:t>
            </w:r>
          </w:p>
        </w:tc>
        <w:tc>
          <w:tcPr>
            <w:tcW w:w="660" w:type="dxa"/>
          </w:tcPr>
          <w:p w14:paraId="59E0C746">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tcPr>
          <w:p w14:paraId="6F00EC44">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余更生</w:t>
            </w:r>
          </w:p>
        </w:tc>
        <w:tc>
          <w:tcPr>
            <w:tcW w:w="2092" w:type="dxa"/>
          </w:tcPr>
          <w:p w14:paraId="4047F9A4">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重庆医科大学附属儿童医院</w:t>
            </w:r>
          </w:p>
        </w:tc>
      </w:tr>
      <w:tr w14:paraId="382B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0F14DFA7">
            <w:pPr>
              <w:pStyle w:val="10"/>
              <w:spacing w:line="360" w:lineRule="auto"/>
              <w:ind w:left="0" w:leftChars="0" w:firstLine="0" w:firstLineChars="0"/>
              <w:jc w:val="center"/>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教学活动</w:t>
            </w:r>
            <w:r>
              <w:rPr>
                <w:rFonts w:hint="eastAsia" w:ascii="宋体" w:hAnsi="宋体" w:eastAsia="宋体"/>
                <w:b w:val="0"/>
                <w:bCs w:val="0"/>
                <w:color w:val="auto"/>
                <w:sz w:val="18"/>
                <w:szCs w:val="18"/>
                <w:vertAlign w:val="baseline"/>
                <w:lang w:val="en-US" w:eastAsia="zh-CN"/>
              </w:rPr>
              <w:t>指南</w:t>
            </w:r>
          </w:p>
        </w:tc>
        <w:tc>
          <w:tcPr>
            <w:tcW w:w="735" w:type="dxa"/>
            <w:shd w:val="clear" w:color="auto" w:fill="auto"/>
            <w:vAlign w:val="top"/>
          </w:tcPr>
          <w:p w14:paraId="7E2A6EA7">
            <w:pPr>
              <w:pStyle w:val="10"/>
              <w:spacing w:line="360" w:lineRule="auto"/>
              <w:ind w:left="0" w:leftChars="0" w:firstLine="0" w:firstLineChars="0"/>
              <w:jc w:val="left"/>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2B7BE517">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理论讲解</w:t>
            </w:r>
          </w:p>
        </w:tc>
        <w:tc>
          <w:tcPr>
            <w:tcW w:w="2190" w:type="dxa"/>
          </w:tcPr>
          <w:p w14:paraId="1347446F">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DOPS评估指南（2022年版）解读</w:t>
            </w:r>
          </w:p>
        </w:tc>
        <w:tc>
          <w:tcPr>
            <w:tcW w:w="660" w:type="dxa"/>
          </w:tcPr>
          <w:p w14:paraId="661A21B5">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vAlign w:val="top"/>
          </w:tcPr>
          <w:p w14:paraId="135A7F31">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余更生</w:t>
            </w:r>
          </w:p>
        </w:tc>
        <w:tc>
          <w:tcPr>
            <w:tcW w:w="2092" w:type="dxa"/>
            <w:vAlign w:val="top"/>
          </w:tcPr>
          <w:p w14:paraId="510FDBAD">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重庆医科大学附属儿童医院</w:t>
            </w:r>
          </w:p>
        </w:tc>
      </w:tr>
      <w:tr w14:paraId="7B06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5DDD9B09">
            <w:pPr>
              <w:pStyle w:val="10"/>
              <w:spacing w:line="360" w:lineRule="auto"/>
              <w:ind w:left="0" w:leftChars="0" w:firstLine="0" w:firstLineChars="0"/>
              <w:jc w:val="center"/>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教学查房</w:t>
            </w:r>
          </w:p>
        </w:tc>
        <w:tc>
          <w:tcPr>
            <w:tcW w:w="735" w:type="dxa"/>
            <w:shd w:val="clear" w:color="auto" w:fill="auto"/>
            <w:vAlign w:val="top"/>
          </w:tcPr>
          <w:p w14:paraId="2B566AC4">
            <w:pPr>
              <w:pStyle w:val="10"/>
              <w:spacing w:line="360" w:lineRule="auto"/>
              <w:ind w:left="0" w:leftChars="0" w:firstLine="0" w:firstLineChars="0"/>
              <w:jc w:val="left"/>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5338F591">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理论讲解</w:t>
            </w:r>
          </w:p>
        </w:tc>
        <w:tc>
          <w:tcPr>
            <w:tcW w:w="2190" w:type="dxa"/>
          </w:tcPr>
          <w:p w14:paraId="70809754">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教学查房的规范与技巧</w:t>
            </w:r>
          </w:p>
        </w:tc>
        <w:tc>
          <w:tcPr>
            <w:tcW w:w="660" w:type="dxa"/>
          </w:tcPr>
          <w:p w14:paraId="4665281B">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1.5</w:t>
            </w:r>
          </w:p>
        </w:tc>
        <w:tc>
          <w:tcPr>
            <w:tcW w:w="1125" w:type="dxa"/>
            <w:vAlign w:val="top"/>
          </w:tcPr>
          <w:p w14:paraId="18BADB85">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陈适</w:t>
            </w:r>
          </w:p>
        </w:tc>
        <w:tc>
          <w:tcPr>
            <w:tcW w:w="2092" w:type="dxa"/>
            <w:vAlign w:val="top"/>
          </w:tcPr>
          <w:p w14:paraId="4FEC5427">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北京协和医院</w:t>
            </w:r>
          </w:p>
        </w:tc>
      </w:tr>
      <w:tr w14:paraId="421B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4EA41AC4">
            <w:pPr>
              <w:pStyle w:val="10"/>
              <w:spacing w:line="360" w:lineRule="auto"/>
              <w:ind w:left="0" w:leftChars="0" w:firstLine="0" w:firstLineChars="0"/>
              <w:jc w:val="center"/>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教学查房</w:t>
            </w:r>
          </w:p>
        </w:tc>
        <w:tc>
          <w:tcPr>
            <w:tcW w:w="735" w:type="dxa"/>
            <w:shd w:val="clear" w:color="auto" w:fill="auto"/>
            <w:vAlign w:val="top"/>
          </w:tcPr>
          <w:p w14:paraId="20110EED">
            <w:pPr>
              <w:pStyle w:val="10"/>
              <w:spacing w:line="360" w:lineRule="auto"/>
              <w:ind w:left="0" w:leftChars="0" w:firstLine="0" w:firstLineChars="0"/>
              <w:jc w:val="left"/>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081E22E9">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情景演示</w:t>
            </w:r>
          </w:p>
        </w:tc>
        <w:tc>
          <w:tcPr>
            <w:tcW w:w="2190" w:type="dxa"/>
          </w:tcPr>
          <w:p w14:paraId="4B79209A">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教学查房的技巧实例</w:t>
            </w:r>
          </w:p>
        </w:tc>
        <w:tc>
          <w:tcPr>
            <w:tcW w:w="660" w:type="dxa"/>
          </w:tcPr>
          <w:p w14:paraId="21D15056">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shd w:val="clear" w:color="auto" w:fill="auto"/>
            <w:vAlign w:val="top"/>
          </w:tcPr>
          <w:p w14:paraId="732B44D0">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陈适</w:t>
            </w:r>
          </w:p>
        </w:tc>
        <w:tc>
          <w:tcPr>
            <w:tcW w:w="2092" w:type="dxa"/>
            <w:shd w:val="clear" w:color="auto" w:fill="auto"/>
            <w:vAlign w:val="top"/>
          </w:tcPr>
          <w:p w14:paraId="6CA5CB58">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北京协和医院</w:t>
            </w:r>
          </w:p>
        </w:tc>
      </w:tr>
      <w:tr w14:paraId="045E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0EC335E0">
            <w:pPr>
              <w:pStyle w:val="10"/>
              <w:spacing w:line="360" w:lineRule="auto"/>
              <w:ind w:left="0" w:leftChars="0" w:firstLine="0" w:firstLineChars="0"/>
              <w:jc w:val="center"/>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教学查房</w:t>
            </w:r>
          </w:p>
        </w:tc>
        <w:tc>
          <w:tcPr>
            <w:tcW w:w="735" w:type="dxa"/>
            <w:shd w:val="clear" w:color="auto" w:fill="auto"/>
            <w:vAlign w:val="top"/>
          </w:tcPr>
          <w:p w14:paraId="0BF35D25">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全科</w:t>
            </w:r>
          </w:p>
        </w:tc>
        <w:tc>
          <w:tcPr>
            <w:tcW w:w="1110" w:type="dxa"/>
            <w:shd w:val="clear" w:color="auto" w:fill="auto"/>
            <w:vAlign w:val="top"/>
          </w:tcPr>
          <w:p w14:paraId="1B66342F">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理论讲解</w:t>
            </w:r>
          </w:p>
        </w:tc>
        <w:tc>
          <w:tcPr>
            <w:tcW w:w="2190" w:type="dxa"/>
          </w:tcPr>
          <w:p w14:paraId="5D52CE18">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如何组织全科教学查房</w:t>
            </w:r>
          </w:p>
        </w:tc>
        <w:tc>
          <w:tcPr>
            <w:tcW w:w="660" w:type="dxa"/>
          </w:tcPr>
          <w:p w14:paraId="5343EBD2">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shd w:val="clear" w:color="auto" w:fill="auto"/>
            <w:vAlign w:val="top"/>
          </w:tcPr>
          <w:p w14:paraId="391CDDD6">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赵德强</w:t>
            </w:r>
          </w:p>
        </w:tc>
        <w:tc>
          <w:tcPr>
            <w:tcW w:w="2092" w:type="dxa"/>
            <w:shd w:val="clear" w:color="auto" w:fill="auto"/>
            <w:vAlign w:val="top"/>
          </w:tcPr>
          <w:p w14:paraId="5B1856E8">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南方医科大学南方医院</w:t>
            </w:r>
          </w:p>
        </w:tc>
      </w:tr>
      <w:tr w14:paraId="7611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4F20CDFA">
            <w:pPr>
              <w:pStyle w:val="10"/>
              <w:spacing w:line="360" w:lineRule="auto"/>
              <w:ind w:left="0" w:leftChars="0" w:firstLine="0" w:firstLineChars="0"/>
              <w:jc w:val="center"/>
              <w:rPr>
                <w:rFonts w:hint="eastAsia"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病例讨论</w:t>
            </w:r>
          </w:p>
        </w:tc>
        <w:tc>
          <w:tcPr>
            <w:tcW w:w="735" w:type="dxa"/>
            <w:shd w:val="clear" w:color="auto" w:fill="auto"/>
            <w:vAlign w:val="top"/>
          </w:tcPr>
          <w:p w14:paraId="1CF31D1B">
            <w:pPr>
              <w:pStyle w:val="10"/>
              <w:spacing w:line="360" w:lineRule="auto"/>
              <w:ind w:left="0" w:leftChars="0" w:firstLine="0" w:firstLineChars="0"/>
              <w:jc w:val="left"/>
              <w:rPr>
                <w:rFonts w:hint="eastAsia"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0EBDA497">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理论讲解</w:t>
            </w:r>
          </w:p>
        </w:tc>
        <w:tc>
          <w:tcPr>
            <w:tcW w:w="2190" w:type="dxa"/>
            <w:shd w:val="clear" w:color="auto" w:fill="auto"/>
            <w:vAlign w:val="top"/>
          </w:tcPr>
          <w:p w14:paraId="2007283D">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cstheme="minorBidi"/>
                <w:b w:val="0"/>
                <w:bCs w:val="0"/>
                <w:color w:val="auto"/>
                <w:kern w:val="2"/>
                <w:sz w:val="18"/>
                <w:szCs w:val="18"/>
                <w:vertAlign w:val="baseline"/>
                <w:lang w:val="en-US" w:eastAsia="zh-CN" w:bidi="ar-SA"/>
              </w:rPr>
              <w:t>如何做好教学病例讨论</w:t>
            </w:r>
          </w:p>
        </w:tc>
        <w:tc>
          <w:tcPr>
            <w:tcW w:w="660" w:type="dxa"/>
            <w:shd w:val="clear" w:color="auto" w:fill="auto"/>
            <w:vAlign w:val="top"/>
          </w:tcPr>
          <w:p w14:paraId="1F91729F">
            <w:pPr>
              <w:pStyle w:val="10"/>
              <w:spacing w:line="360" w:lineRule="auto"/>
              <w:ind w:left="0" w:leftChars="0" w:firstLine="0" w:firstLineChars="0"/>
              <w:jc w:val="left"/>
              <w:rPr>
                <w:rFonts w:hint="eastAsia"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1</w:t>
            </w:r>
          </w:p>
        </w:tc>
        <w:tc>
          <w:tcPr>
            <w:tcW w:w="1125" w:type="dxa"/>
            <w:shd w:val="clear" w:color="auto" w:fill="auto"/>
            <w:vAlign w:val="top"/>
          </w:tcPr>
          <w:p w14:paraId="02496530">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赵义</w:t>
            </w:r>
          </w:p>
        </w:tc>
        <w:tc>
          <w:tcPr>
            <w:tcW w:w="2092" w:type="dxa"/>
            <w:shd w:val="clear" w:color="auto" w:fill="auto"/>
            <w:vAlign w:val="top"/>
          </w:tcPr>
          <w:p w14:paraId="6AC06B70">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首都医科大学宣武医院</w:t>
            </w:r>
          </w:p>
        </w:tc>
      </w:tr>
      <w:tr w14:paraId="6DF3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5B52125D">
            <w:pPr>
              <w:pStyle w:val="10"/>
              <w:spacing w:line="360" w:lineRule="auto"/>
              <w:ind w:left="0" w:leftChars="0" w:firstLine="0" w:firstLineChars="0"/>
              <w:jc w:val="center"/>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病例讨论</w:t>
            </w:r>
          </w:p>
        </w:tc>
        <w:tc>
          <w:tcPr>
            <w:tcW w:w="735" w:type="dxa"/>
            <w:shd w:val="clear" w:color="auto" w:fill="auto"/>
            <w:vAlign w:val="top"/>
          </w:tcPr>
          <w:p w14:paraId="3C3A54FC">
            <w:pPr>
              <w:pStyle w:val="10"/>
              <w:spacing w:line="360" w:lineRule="auto"/>
              <w:ind w:left="0" w:leftChars="0" w:firstLine="0" w:firstLineChars="0"/>
              <w:jc w:val="left"/>
              <w:rPr>
                <w:rFonts w:hint="eastAsia"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411BD8FD">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情景演示</w:t>
            </w:r>
          </w:p>
        </w:tc>
        <w:tc>
          <w:tcPr>
            <w:tcW w:w="2190" w:type="dxa"/>
          </w:tcPr>
          <w:p w14:paraId="33EA25B9">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教学病例讨论情景演示</w:t>
            </w:r>
          </w:p>
        </w:tc>
        <w:tc>
          <w:tcPr>
            <w:tcW w:w="660" w:type="dxa"/>
          </w:tcPr>
          <w:p w14:paraId="7AA5CD5F">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1.5</w:t>
            </w:r>
          </w:p>
        </w:tc>
        <w:tc>
          <w:tcPr>
            <w:tcW w:w="1125" w:type="dxa"/>
            <w:shd w:val="clear" w:color="auto" w:fill="auto"/>
            <w:vAlign w:val="top"/>
          </w:tcPr>
          <w:p w14:paraId="6ADA2B0D">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赵义</w:t>
            </w:r>
          </w:p>
        </w:tc>
        <w:tc>
          <w:tcPr>
            <w:tcW w:w="2092" w:type="dxa"/>
            <w:shd w:val="clear" w:color="auto" w:fill="auto"/>
            <w:vAlign w:val="top"/>
          </w:tcPr>
          <w:p w14:paraId="4D57B5DF">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首都医科大学宣武医院</w:t>
            </w:r>
          </w:p>
        </w:tc>
      </w:tr>
      <w:tr w14:paraId="0D8B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0E0DE5D7">
            <w:pPr>
              <w:pStyle w:val="10"/>
              <w:spacing w:line="360" w:lineRule="auto"/>
              <w:ind w:left="0" w:leftChars="0" w:firstLine="0" w:firstLineChars="0"/>
              <w:jc w:val="center"/>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小讲课</w:t>
            </w:r>
          </w:p>
        </w:tc>
        <w:tc>
          <w:tcPr>
            <w:tcW w:w="735" w:type="dxa"/>
            <w:shd w:val="clear" w:color="auto" w:fill="auto"/>
            <w:vAlign w:val="top"/>
          </w:tcPr>
          <w:p w14:paraId="28A0209C">
            <w:pPr>
              <w:pStyle w:val="10"/>
              <w:spacing w:line="360" w:lineRule="auto"/>
              <w:ind w:left="0" w:leftChars="0" w:firstLine="0" w:firstLineChars="0"/>
              <w:jc w:val="left"/>
              <w:rPr>
                <w:rFonts w:hint="eastAsia"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39B59003">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情景演示</w:t>
            </w:r>
          </w:p>
        </w:tc>
        <w:tc>
          <w:tcPr>
            <w:tcW w:w="2190" w:type="dxa"/>
          </w:tcPr>
          <w:p w14:paraId="492C5833">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临床教学小讲课演示</w:t>
            </w:r>
          </w:p>
        </w:tc>
        <w:tc>
          <w:tcPr>
            <w:tcW w:w="660" w:type="dxa"/>
          </w:tcPr>
          <w:p w14:paraId="35744D58">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shd w:val="clear" w:color="auto" w:fill="auto"/>
            <w:vAlign w:val="top"/>
          </w:tcPr>
          <w:p w14:paraId="0FF57E8C">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朱超</w:t>
            </w:r>
          </w:p>
        </w:tc>
        <w:tc>
          <w:tcPr>
            <w:tcW w:w="2092" w:type="dxa"/>
            <w:shd w:val="clear" w:color="auto" w:fill="auto"/>
            <w:vAlign w:val="top"/>
          </w:tcPr>
          <w:p w14:paraId="00305DF2">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首都医科大学附属北京友谊医院</w:t>
            </w:r>
          </w:p>
        </w:tc>
      </w:tr>
      <w:tr w14:paraId="3405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4B8835BB">
            <w:pPr>
              <w:pStyle w:val="10"/>
              <w:spacing w:line="360" w:lineRule="auto"/>
              <w:ind w:left="0" w:leftChars="0" w:firstLine="0" w:firstLineChars="0"/>
              <w:jc w:val="center"/>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门诊教学</w:t>
            </w:r>
          </w:p>
        </w:tc>
        <w:tc>
          <w:tcPr>
            <w:tcW w:w="735" w:type="dxa"/>
            <w:shd w:val="clear" w:color="auto" w:fill="auto"/>
            <w:vAlign w:val="top"/>
          </w:tcPr>
          <w:p w14:paraId="216A0EC3">
            <w:pPr>
              <w:pStyle w:val="10"/>
              <w:spacing w:line="360" w:lineRule="auto"/>
              <w:ind w:left="0" w:leftChars="0" w:firstLine="0" w:firstLineChars="0"/>
              <w:jc w:val="left"/>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78EBC07D">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理论讲解</w:t>
            </w:r>
          </w:p>
        </w:tc>
        <w:tc>
          <w:tcPr>
            <w:tcW w:w="2190" w:type="dxa"/>
          </w:tcPr>
          <w:p w14:paraId="5904D323">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门诊教学的组织及管理</w:t>
            </w:r>
          </w:p>
        </w:tc>
        <w:tc>
          <w:tcPr>
            <w:tcW w:w="660" w:type="dxa"/>
          </w:tcPr>
          <w:p w14:paraId="3489EE74">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shd w:val="clear" w:color="auto" w:fill="auto"/>
            <w:vAlign w:val="top"/>
          </w:tcPr>
          <w:p w14:paraId="6631D441">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梁金锐</w:t>
            </w:r>
          </w:p>
        </w:tc>
        <w:tc>
          <w:tcPr>
            <w:tcW w:w="2092" w:type="dxa"/>
            <w:shd w:val="clear" w:color="auto" w:fill="auto"/>
            <w:vAlign w:val="top"/>
          </w:tcPr>
          <w:p w14:paraId="43D008CF">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首都医科大学附属北京友谊医院</w:t>
            </w:r>
          </w:p>
        </w:tc>
      </w:tr>
      <w:tr w14:paraId="414E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top"/>
          </w:tcPr>
          <w:p w14:paraId="0B708166">
            <w:pPr>
              <w:pStyle w:val="10"/>
              <w:spacing w:line="360" w:lineRule="auto"/>
              <w:ind w:left="0" w:leftChars="0" w:firstLine="0" w:firstLineChars="0"/>
              <w:jc w:val="center"/>
              <w:rPr>
                <w:rFonts w:hint="eastAsia"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技能操作教学</w:t>
            </w:r>
          </w:p>
        </w:tc>
        <w:tc>
          <w:tcPr>
            <w:tcW w:w="735" w:type="dxa"/>
            <w:shd w:val="clear" w:color="auto" w:fill="auto"/>
            <w:vAlign w:val="top"/>
          </w:tcPr>
          <w:p w14:paraId="0FBD294F">
            <w:pPr>
              <w:pStyle w:val="10"/>
              <w:spacing w:line="360" w:lineRule="auto"/>
              <w:ind w:left="0" w:leftChars="0" w:firstLine="0" w:firstLineChars="0"/>
              <w:jc w:val="left"/>
              <w:rPr>
                <w:rFonts w:hint="eastAsia" w:ascii="宋体" w:hAnsi="宋体" w:eastAsia="宋体" w:cstheme="minorBidi"/>
                <w:b w:val="0"/>
                <w:bCs w:val="0"/>
                <w:color w:val="auto"/>
                <w:kern w:val="2"/>
                <w:sz w:val="18"/>
                <w:szCs w:val="18"/>
                <w:vertAlign w:val="baseline"/>
                <w:lang w:val="en-US" w:eastAsia="zh-CN" w:bidi="ar-SA"/>
              </w:rPr>
            </w:pPr>
            <w:r>
              <w:rPr>
                <w:rFonts w:hint="eastAsia" w:ascii="宋体" w:hAnsi="宋体" w:eastAsia="宋体"/>
                <w:b w:val="0"/>
                <w:bCs w:val="0"/>
                <w:color w:val="auto"/>
                <w:sz w:val="18"/>
                <w:szCs w:val="18"/>
                <w:vertAlign w:val="baseline"/>
                <w:lang w:val="en-US" w:eastAsia="zh-CN"/>
              </w:rPr>
              <w:t>通用</w:t>
            </w:r>
          </w:p>
        </w:tc>
        <w:tc>
          <w:tcPr>
            <w:tcW w:w="1110" w:type="dxa"/>
            <w:shd w:val="clear" w:color="auto" w:fill="auto"/>
            <w:vAlign w:val="top"/>
          </w:tcPr>
          <w:p w14:paraId="22E67F38">
            <w:pPr>
              <w:pStyle w:val="10"/>
              <w:spacing w:line="360" w:lineRule="auto"/>
              <w:ind w:left="0" w:leftChars="0" w:firstLine="0" w:firstLineChars="0"/>
              <w:jc w:val="left"/>
              <w:rPr>
                <w:rFonts w:hint="default" w:ascii="宋体" w:hAnsi="宋体" w:eastAsia="宋体" w:cstheme="minorBidi"/>
                <w:b w:val="0"/>
                <w:bCs w:val="0"/>
                <w:color w:val="auto"/>
                <w:kern w:val="2"/>
                <w:sz w:val="18"/>
                <w:szCs w:val="18"/>
                <w:vertAlign w:val="baseline"/>
                <w:lang w:val="en-US" w:eastAsia="zh-CN" w:bidi="ar-SA"/>
              </w:rPr>
            </w:pPr>
            <w:r>
              <w:rPr>
                <w:rFonts w:hint="default" w:ascii="宋体" w:hAnsi="宋体" w:eastAsia="宋体"/>
                <w:b w:val="0"/>
                <w:bCs w:val="0"/>
                <w:color w:val="auto"/>
                <w:sz w:val="18"/>
                <w:szCs w:val="18"/>
                <w:vertAlign w:val="baseline"/>
                <w:lang w:val="en-US" w:eastAsia="zh-CN"/>
              </w:rPr>
              <w:t>理论讲解</w:t>
            </w:r>
          </w:p>
        </w:tc>
        <w:tc>
          <w:tcPr>
            <w:tcW w:w="2190" w:type="dxa"/>
          </w:tcPr>
          <w:p w14:paraId="785A96D9">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高质量临床技能课程设计与实施</w:t>
            </w:r>
          </w:p>
        </w:tc>
        <w:tc>
          <w:tcPr>
            <w:tcW w:w="660" w:type="dxa"/>
          </w:tcPr>
          <w:p w14:paraId="20B40B19">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eastAsia" w:ascii="宋体" w:hAnsi="宋体" w:eastAsia="宋体"/>
                <w:b w:val="0"/>
                <w:bCs w:val="0"/>
                <w:color w:val="auto"/>
                <w:sz w:val="18"/>
                <w:szCs w:val="18"/>
                <w:vertAlign w:val="baseline"/>
                <w:lang w:val="en-US" w:eastAsia="zh-CN"/>
              </w:rPr>
              <w:t>1</w:t>
            </w:r>
          </w:p>
        </w:tc>
        <w:tc>
          <w:tcPr>
            <w:tcW w:w="1125" w:type="dxa"/>
            <w:shd w:val="clear" w:color="auto" w:fill="auto"/>
            <w:vAlign w:val="top"/>
          </w:tcPr>
          <w:p w14:paraId="234228D6">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卢章洪</w:t>
            </w:r>
          </w:p>
        </w:tc>
        <w:tc>
          <w:tcPr>
            <w:tcW w:w="2092" w:type="dxa"/>
            <w:shd w:val="clear" w:color="auto" w:fill="auto"/>
            <w:vAlign w:val="top"/>
          </w:tcPr>
          <w:p w14:paraId="3373EE66">
            <w:pPr>
              <w:pStyle w:val="10"/>
              <w:spacing w:line="360" w:lineRule="auto"/>
              <w:ind w:left="0" w:leftChars="0" w:firstLine="0" w:firstLineChars="0"/>
              <w:jc w:val="left"/>
              <w:rPr>
                <w:rFonts w:hint="default" w:ascii="宋体" w:hAnsi="宋体" w:eastAsia="宋体"/>
                <w:b w:val="0"/>
                <w:bCs w:val="0"/>
                <w:color w:val="auto"/>
                <w:sz w:val="18"/>
                <w:szCs w:val="18"/>
                <w:vertAlign w:val="baseline"/>
                <w:lang w:val="en-US" w:eastAsia="zh-CN"/>
              </w:rPr>
            </w:pPr>
            <w:r>
              <w:rPr>
                <w:rFonts w:hint="default" w:ascii="宋体" w:hAnsi="宋体" w:eastAsia="宋体"/>
                <w:b w:val="0"/>
                <w:bCs w:val="0"/>
                <w:color w:val="auto"/>
                <w:sz w:val="18"/>
                <w:szCs w:val="18"/>
                <w:vertAlign w:val="baseline"/>
                <w:lang w:val="en-US" w:eastAsia="zh-CN"/>
              </w:rPr>
              <w:t>武汉大学人民医院</w:t>
            </w:r>
          </w:p>
        </w:tc>
      </w:tr>
    </w:tbl>
    <w:p w14:paraId="355FFF1E">
      <w:pPr>
        <w:pStyle w:val="10"/>
        <w:spacing w:line="360" w:lineRule="auto"/>
        <w:ind w:left="0" w:leftChars="0" w:firstLine="0" w:firstLineChars="0"/>
        <w:jc w:val="both"/>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备注：不限于以上课程，满足住培方向学分要求即可</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18C76"/>
    <w:multiLevelType w:val="singleLevel"/>
    <w:tmpl w:val="A3A18C76"/>
    <w:lvl w:ilvl="0" w:tentative="0">
      <w:start w:val="1"/>
      <w:numFmt w:val="decimal"/>
      <w:suff w:val="space"/>
      <w:lvlText w:val="%1."/>
      <w:lvlJc w:val="left"/>
    </w:lvl>
  </w:abstractNum>
  <w:abstractNum w:abstractNumId="1">
    <w:nsid w:val="14D84B87"/>
    <w:multiLevelType w:val="multilevel"/>
    <w:tmpl w:val="14D84B87"/>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2">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724436"/>
    <w:multiLevelType w:val="singleLevel"/>
    <w:tmpl w:val="58724436"/>
    <w:lvl w:ilvl="0" w:tentative="0">
      <w:start w:val="1"/>
      <w:numFmt w:val="decimal"/>
      <w:suff w:val="space"/>
      <w:lvlText w:val="%1."/>
      <w:lvlJc w:val="left"/>
    </w:lvl>
  </w:abstractNum>
  <w:abstractNum w:abstractNumId="4">
    <w:nsid w:val="78E8704B"/>
    <w:multiLevelType w:val="singleLevel"/>
    <w:tmpl w:val="78E8704B"/>
    <w:lvl w:ilvl="0" w:tentative="0">
      <w:start w:val="1"/>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8C322F"/>
    <w:rsid w:val="00A140D3"/>
    <w:rsid w:val="00B759E0"/>
    <w:rsid w:val="00D5380E"/>
    <w:rsid w:val="00DC1FBB"/>
    <w:rsid w:val="00E61AD4"/>
    <w:rsid w:val="00F13AA1"/>
    <w:rsid w:val="038608DA"/>
    <w:rsid w:val="03C36E72"/>
    <w:rsid w:val="05D41479"/>
    <w:rsid w:val="06DF14B2"/>
    <w:rsid w:val="072E01FC"/>
    <w:rsid w:val="08741252"/>
    <w:rsid w:val="09613608"/>
    <w:rsid w:val="0A791D80"/>
    <w:rsid w:val="0F2A1F3D"/>
    <w:rsid w:val="109B068D"/>
    <w:rsid w:val="12D1790A"/>
    <w:rsid w:val="13F25BD1"/>
    <w:rsid w:val="14782DB8"/>
    <w:rsid w:val="14AF00BD"/>
    <w:rsid w:val="153D4F2B"/>
    <w:rsid w:val="165C1DAE"/>
    <w:rsid w:val="16ED2D59"/>
    <w:rsid w:val="174D1CA9"/>
    <w:rsid w:val="17536FF6"/>
    <w:rsid w:val="17541870"/>
    <w:rsid w:val="19151124"/>
    <w:rsid w:val="1A251034"/>
    <w:rsid w:val="1AA944D3"/>
    <w:rsid w:val="1B5C436C"/>
    <w:rsid w:val="1B91509A"/>
    <w:rsid w:val="1D9262D5"/>
    <w:rsid w:val="1DC80F48"/>
    <w:rsid w:val="1EF845B9"/>
    <w:rsid w:val="1FAE722E"/>
    <w:rsid w:val="2001604F"/>
    <w:rsid w:val="22293C01"/>
    <w:rsid w:val="224243ED"/>
    <w:rsid w:val="24DA1462"/>
    <w:rsid w:val="251F0377"/>
    <w:rsid w:val="25D43FBF"/>
    <w:rsid w:val="26AA16D4"/>
    <w:rsid w:val="284C2F0D"/>
    <w:rsid w:val="290632D5"/>
    <w:rsid w:val="2A532CCB"/>
    <w:rsid w:val="2C6E439E"/>
    <w:rsid w:val="2C8F073A"/>
    <w:rsid w:val="2CA67011"/>
    <w:rsid w:val="2E55261B"/>
    <w:rsid w:val="318A02D1"/>
    <w:rsid w:val="34906983"/>
    <w:rsid w:val="34A02F04"/>
    <w:rsid w:val="367D4F11"/>
    <w:rsid w:val="395C56DE"/>
    <w:rsid w:val="3A6B617C"/>
    <w:rsid w:val="3A965B44"/>
    <w:rsid w:val="3B4F3BCB"/>
    <w:rsid w:val="3D655CAD"/>
    <w:rsid w:val="3DCF123E"/>
    <w:rsid w:val="3E3103B1"/>
    <w:rsid w:val="3FFE146B"/>
    <w:rsid w:val="41971DBD"/>
    <w:rsid w:val="43CC4B30"/>
    <w:rsid w:val="44511123"/>
    <w:rsid w:val="44562E4C"/>
    <w:rsid w:val="455A3219"/>
    <w:rsid w:val="457173F8"/>
    <w:rsid w:val="47FA24B7"/>
    <w:rsid w:val="480C0CC5"/>
    <w:rsid w:val="49C017DB"/>
    <w:rsid w:val="4BF413EA"/>
    <w:rsid w:val="4F640350"/>
    <w:rsid w:val="507D710A"/>
    <w:rsid w:val="50844495"/>
    <w:rsid w:val="508670F0"/>
    <w:rsid w:val="50A873B9"/>
    <w:rsid w:val="52C84CF5"/>
    <w:rsid w:val="53D23CA8"/>
    <w:rsid w:val="54361EC0"/>
    <w:rsid w:val="54E82BB7"/>
    <w:rsid w:val="55B43D13"/>
    <w:rsid w:val="562C3FA0"/>
    <w:rsid w:val="56864135"/>
    <w:rsid w:val="585573E7"/>
    <w:rsid w:val="58841388"/>
    <w:rsid w:val="5A334C18"/>
    <w:rsid w:val="5C2974BB"/>
    <w:rsid w:val="5C4B79F0"/>
    <w:rsid w:val="5C6164F3"/>
    <w:rsid w:val="5EEF047E"/>
    <w:rsid w:val="5F677623"/>
    <w:rsid w:val="606A2F3D"/>
    <w:rsid w:val="607B2E53"/>
    <w:rsid w:val="60F93832"/>
    <w:rsid w:val="6106755F"/>
    <w:rsid w:val="63EF6D4C"/>
    <w:rsid w:val="65EF576E"/>
    <w:rsid w:val="67234BE8"/>
    <w:rsid w:val="67C37F93"/>
    <w:rsid w:val="686C39B1"/>
    <w:rsid w:val="68B72934"/>
    <w:rsid w:val="69A9737D"/>
    <w:rsid w:val="6A5B6461"/>
    <w:rsid w:val="6B9E401E"/>
    <w:rsid w:val="6C1A6998"/>
    <w:rsid w:val="711C77D0"/>
    <w:rsid w:val="73051406"/>
    <w:rsid w:val="73F71B2F"/>
    <w:rsid w:val="74BE7536"/>
    <w:rsid w:val="7524075C"/>
    <w:rsid w:val="76C64F98"/>
    <w:rsid w:val="79792DFF"/>
    <w:rsid w:val="7AB427B8"/>
    <w:rsid w:val="7B080236"/>
    <w:rsid w:val="7D18626C"/>
    <w:rsid w:val="7E4F56FC"/>
    <w:rsid w:val="7ED45A9B"/>
    <w:rsid w:val="7F895F01"/>
    <w:rsid w:val="7FFE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Body Text Indent 2"/>
    <w:basedOn w:val="1"/>
    <w:qFormat/>
    <w:uiPriority w:val="0"/>
    <w:pPr>
      <w:ind w:firstLine="630"/>
    </w:pPr>
    <w:rPr>
      <w:sz w:val="32"/>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p15"/>
    <w:basedOn w:val="1"/>
    <w:qFormat/>
    <w:uiPriority w:val="0"/>
    <w:pPr>
      <w:widowControl/>
      <w:ind w:firstLine="420"/>
    </w:pPr>
    <w:rPr>
      <w:kern w:val="0"/>
      <w:szCs w:val="21"/>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4408</Words>
  <Characters>4575</Characters>
  <Lines>26</Lines>
  <Paragraphs>7</Paragraphs>
  <TotalTime>12</TotalTime>
  <ScaleCrop>false</ScaleCrop>
  <LinksUpToDate>false</LinksUpToDate>
  <CharactersWithSpaces>4598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加深</cp:lastModifiedBy>
  <dcterms:modified xsi:type="dcterms:W3CDTF">2025-03-11T03:09:28Z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eyJoZGlkIjoiNmFkNzM0MjEyYTJlMGViYTU0N2EyNjMzYjM3OTNmZjIiLCJ1c2VySWQiOiIzNTY0MzY5ODAifQ==</vt:lpwstr>
  </property>
  <property fmtid="{D5CDD505-2E9C-101B-9397-08002B2CF9AE}" pid="4" name="ICV">
    <vt:lpwstr>24C01FFFB24B4EFC8C97D9D0FD452BD8_12</vt:lpwstr>
  </property>
</Properties>
</file>