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A7D0F">
      <w:pPr>
        <w:bidi w:val="0"/>
        <w:jc w:val="center"/>
        <w:rPr>
          <w:rFonts w:hint="default" w:ascii="宋体" w:hAnsi="宋体" w:eastAsia="宋体" w:cs="微软雅黑"/>
          <w:b/>
          <w:bCs/>
          <w:kern w:val="44"/>
          <w:sz w:val="30"/>
          <w:szCs w:val="30"/>
          <w:lang w:val="en-US" w:eastAsia="zh-CN"/>
        </w:rPr>
      </w:pPr>
      <w:r>
        <w:rPr>
          <w:rFonts w:hint="eastAsia" w:ascii="宋体" w:hAnsi="宋体" w:eastAsia="宋体" w:cs="微软雅黑"/>
          <w:b/>
          <w:bCs/>
          <w:kern w:val="44"/>
          <w:sz w:val="30"/>
          <w:szCs w:val="30"/>
        </w:rPr>
        <w:t>柳州市</w:t>
      </w:r>
      <w:r>
        <w:rPr>
          <w:rFonts w:ascii="宋体" w:hAnsi="宋体" w:eastAsia="宋体" w:cs="微软雅黑"/>
          <w:b/>
          <w:bCs/>
          <w:kern w:val="44"/>
          <w:sz w:val="30"/>
          <w:szCs w:val="30"/>
        </w:rPr>
        <w:t>工人医院</w:t>
      </w:r>
      <w:r>
        <w:rPr>
          <w:rFonts w:hint="eastAsia" w:ascii="宋体" w:hAnsi="宋体" w:eastAsia="宋体" w:cs="微软雅黑"/>
          <w:b/>
          <w:bCs/>
          <w:kern w:val="44"/>
          <w:sz w:val="30"/>
          <w:szCs w:val="30"/>
          <w:lang w:val="en-US" w:eastAsia="zh-CN"/>
        </w:rPr>
        <w:t>血液透析信息管理系统维保服务技术参数要求</w:t>
      </w:r>
    </w:p>
    <w:p w14:paraId="2A350EEB">
      <w:pPr>
        <w:jc w:val="center"/>
        <w:rPr>
          <w:rFonts w:hint="default"/>
          <w:sz w:val="36"/>
          <w:szCs w:val="36"/>
          <w:lang w:val="en-US" w:eastAsia="zh-CN"/>
        </w:rPr>
      </w:pPr>
    </w:p>
    <w:p w14:paraId="5C823BAD">
      <w:pPr>
        <w:pStyle w:val="9"/>
        <w:numPr>
          <w:ilvl w:val="0"/>
          <w:numId w:val="1"/>
        </w:numPr>
        <w:spacing w:line="312" w:lineRule="auto"/>
        <w:ind w:firstLineChars="0"/>
        <w:rPr>
          <w:rFonts w:hint="eastAsia" w:ascii="宋体" w:hAnsi="宋体" w:eastAsia="宋体"/>
          <w:b/>
          <w:sz w:val="28"/>
          <w:szCs w:val="28"/>
        </w:rPr>
      </w:pPr>
      <w:r>
        <w:rPr>
          <w:rFonts w:hint="eastAsia" w:ascii="宋体" w:hAnsi="宋体" w:eastAsia="宋体"/>
          <w:b/>
          <w:sz w:val="28"/>
          <w:szCs w:val="28"/>
        </w:rPr>
        <w:t>项目背景</w:t>
      </w:r>
    </w:p>
    <w:p w14:paraId="5CC323A7">
      <w:pPr>
        <w:spacing w:line="312" w:lineRule="auto"/>
        <w:ind w:firstLine="480" w:firstLineChars="200"/>
        <w:rPr>
          <w:rFonts w:hint="eastAsia" w:ascii="宋体" w:hAnsi="宋体" w:eastAsia="宋体"/>
          <w:sz w:val="24"/>
          <w:szCs w:val="24"/>
        </w:rPr>
      </w:pPr>
      <w:r>
        <w:rPr>
          <w:rFonts w:hint="eastAsia" w:ascii="宋体" w:hAnsi="宋体" w:eastAsia="宋体"/>
          <w:sz w:val="24"/>
          <w:szCs w:val="24"/>
        </w:rPr>
        <w:t>我院目前使用的</w:t>
      </w:r>
      <w:r>
        <w:rPr>
          <w:rFonts w:hint="eastAsia" w:ascii="宋体" w:hAnsi="宋体" w:eastAsia="宋体"/>
          <w:sz w:val="24"/>
          <w:szCs w:val="24"/>
          <w:lang w:val="en-US" w:eastAsia="zh-CN"/>
        </w:rPr>
        <w:t>血液透析信息管理系统</w:t>
      </w:r>
      <w:r>
        <w:rPr>
          <w:rFonts w:hint="eastAsia" w:ascii="宋体" w:hAnsi="宋体" w:eastAsia="宋体"/>
          <w:sz w:val="24"/>
          <w:szCs w:val="24"/>
        </w:rPr>
        <w:t>采购于2020年</w:t>
      </w:r>
      <w:r>
        <w:rPr>
          <w:rFonts w:hint="eastAsia" w:ascii="宋体" w:hAnsi="宋体" w:eastAsia="宋体"/>
          <w:sz w:val="24"/>
          <w:szCs w:val="24"/>
          <w:lang w:val="en-US" w:eastAsia="zh-CN"/>
        </w:rPr>
        <w:t>12月9月</w:t>
      </w:r>
      <w:r>
        <w:rPr>
          <w:rFonts w:hint="eastAsia" w:ascii="宋体" w:hAnsi="宋体" w:eastAsia="宋体"/>
          <w:sz w:val="24"/>
          <w:szCs w:val="24"/>
        </w:rPr>
        <w:t>，至今已使用4年，质保期于202</w:t>
      </w:r>
      <w:r>
        <w:rPr>
          <w:rFonts w:hint="eastAsia" w:ascii="宋体" w:hAnsi="宋体" w:eastAsia="宋体"/>
          <w:sz w:val="24"/>
          <w:szCs w:val="24"/>
          <w:lang w:val="en-US" w:eastAsia="zh-CN"/>
        </w:rPr>
        <w:t>5</w:t>
      </w:r>
      <w:r>
        <w:rPr>
          <w:rFonts w:hint="eastAsia" w:ascii="宋体" w:hAnsi="宋体" w:eastAsia="宋体"/>
          <w:sz w:val="24"/>
          <w:szCs w:val="24"/>
        </w:rPr>
        <w:t>年</w:t>
      </w:r>
      <w:r>
        <w:rPr>
          <w:rFonts w:hint="eastAsia" w:ascii="宋体" w:hAnsi="宋体" w:eastAsia="宋体"/>
          <w:sz w:val="24"/>
          <w:szCs w:val="24"/>
          <w:lang w:val="en-US" w:eastAsia="zh-CN"/>
        </w:rPr>
        <w:t>1</w:t>
      </w:r>
      <w:r>
        <w:rPr>
          <w:rFonts w:hint="eastAsia" w:ascii="宋体" w:hAnsi="宋体" w:eastAsia="宋体"/>
          <w:sz w:val="24"/>
          <w:szCs w:val="24"/>
        </w:rPr>
        <w:t>月1</w:t>
      </w:r>
      <w:r>
        <w:rPr>
          <w:rFonts w:hint="eastAsia" w:ascii="宋体" w:hAnsi="宋体" w:eastAsia="宋体"/>
          <w:sz w:val="24"/>
          <w:szCs w:val="24"/>
          <w:lang w:val="en-US" w:eastAsia="zh-CN"/>
        </w:rPr>
        <w:t>9</w:t>
      </w:r>
      <w:r>
        <w:rPr>
          <w:rFonts w:hint="eastAsia" w:ascii="宋体" w:hAnsi="宋体" w:eastAsia="宋体"/>
          <w:sz w:val="24"/>
          <w:szCs w:val="24"/>
        </w:rPr>
        <w:t>日到期。</w:t>
      </w:r>
      <w:r>
        <w:rPr>
          <w:rFonts w:hint="eastAsia" w:ascii="宋体" w:hAnsi="宋体" w:eastAsia="宋体"/>
          <w:sz w:val="24"/>
          <w:szCs w:val="24"/>
          <w:lang w:val="en-US" w:eastAsia="zh-CN"/>
        </w:rPr>
        <w:t>该系统为患者建立了电子健康档案，</w:t>
      </w:r>
      <w:r>
        <w:rPr>
          <w:rFonts w:hint="eastAsia" w:ascii="宋体" w:hAnsi="宋体" w:eastAsia="宋体" w:cs="宋体"/>
          <w:sz w:val="24"/>
          <w:szCs w:val="24"/>
        </w:rPr>
        <w:t>详细</w:t>
      </w:r>
      <w:r>
        <w:rPr>
          <w:rFonts w:hint="eastAsia" w:ascii="宋体" w:hAnsi="宋体" w:eastAsia="宋体" w:cs="宋体"/>
          <w:sz w:val="24"/>
          <w:szCs w:val="24"/>
          <w:lang w:val="en-US" w:eastAsia="zh-CN"/>
        </w:rPr>
        <w:t>地</w:t>
      </w:r>
      <w:r>
        <w:rPr>
          <w:rFonts w:hint="eastAsia" w:ascii="宋体" w:hAnsi="宋体" w:eastAsia="宋体" w:cs="宋体"/>
          <w:sz w:val="24"/>
          <w:szCs w:val="24"/>
        </w:rPr>
        <w:t>记录</w:t>
      </w:r>
      <w:r>
        <w:rPr>
          <w:rFonts w:hint="eastAsia" w:ascii="宋体" w:hAnsi="宋体" w:eastAsia="宋体" w:cs="宋体"/>
          <w:sz w:val="24"/>
          <w:szCs w:val="24"/>
          <w:lang w:val="en-US" w:eastAsia="zh-CN"/>
        </w:rPr>
        <w:t>了</w:t>
      </w:r>
      <w:r>
        <w:rPr>
          <w:rFonts w:hint="eastAsia" w:ascii="宋体" w:hAnsi="宋体" w:eastAsia="宋体" w:cs="宋体"/>
          <w:sz w:val="24"/>
          <w:szCs w:val="24"/>
        </w:rPr>
        <w:t>血液净化透析病历、手术、治疗记录</w:t>
      </w:r>
      <w:r>
        <w:rPr>
          <w:rFonts w:hint="eastAsia" w:ascii="宋体" w:hAnsi="宋体" w:cs="宋体"/>
          <w:sz w:val="24"/>
          <w:szCs w:val="24"/>
          <w:lang w:eastAsia="zh-CN"/>
        </w:rPr>
        <w:t>、检查检验报告等</w:t>
      </w:r>
      <w:r>
        <w:rPr>
          <w:rFonts w:hint="eastAsia" w:ascii="宋体" w:hAnsi="宋体" w:eastAsia="宋体" w:cs="宋体"/>
          <w:sz w:val="24"/>
          <w:szCs w:val="24"/>
        </w:rPr>
        <w:t>数据</w:t>
      </w:r>
      <w:r>
        <w:rPr>
          <w:rFonts w:hint="eastAsia" w:ascii="宋体" w:hAnsi="宋体" w:eastAsia="宋体" w:cs="宋体"/>
          <w:sz w:val="24"/>
          <w:szCs w:val="24"/>
          <w:lang w:eastAsia="zh-CN"/>
        </w:rPr>
        <w:t>；</w:t>
      </w:r>
      <w:r>
        <w:rPr>
          <w:rFonts w:hint="eastAsia" w:ascii="宋体" w:hAnsi="宋体" w:eastAsia="宋体"/>
          <w:sz w:val="24"/>
          <w:szCs w:val="24"/>
          <w:lang w:val="en-US" w:eastAsia="zh-CN"/>
        </w:rPr>
        <w:t>为临床科室搭建了信息化管理平台，帮助</w:t>
      </w:r>
      <w:r>
        <w:rPr>
          <w:rFonts w:hint="eastAsia" w:ascii="宋体" w:hAnsi="宋体" w:eastAsia="宋体" w:cs="宋体"/>
          <w:color w:val="000000"/>
          <w:kern w:val="0"/>
          <w:sz w:val="24"/>
          <w:shd w:val="clear" w:color="auto" w:fill="FFFFFF"/>
        </w:rPr>
        <w:t>医护人员提供便捷高效的管理方式</w:t>
      </w:r>
      <w:r>
        <w:rPr>
          <w:rFonts w:hint="eastAsia" w:ascii="宋体" w:hAnsi="宋体" w:eastAsia="宋体"/>
          <w:sz w:val="24"/>
          <w:szCs w:val="24"/>
          <w:lang w:val="en-US" w:eastAsia="zh-CN"/>
        </w:rPr>
        <w:t>。为</w:t>
      </w:r>
      <w:r>
        <w:rPr>
          <w:rFonts w:hint="eastAsia" w:ascii="宋体" w:hAnsi="宋体" w:eastAsia="宋体"/>
          <w:sz w:val="24"/>
          <w:szCs w:val="24"/>
        </w:rPr>
        <w:t>保证</w:t>
      </w:r>
      <w:r>
        <w:rPr>
          <w:rFonts w:hint="eastAsia" w:ascii="宋体" w:hAnsi="宋体" w:eastAsia="宋体"/>
          <w:sz w:val="24"/>
          <w:szCs w:val="24"/>
          <w:lang w:val="en-US" w:eastAsia="zh-CN"/>
        </w:rPr>
        <w:t>血液透析信息管理系统</w:t>
      </w:r>
      <w:r>
        <w:rPr>
          <w:rFonts w:hint="eastAsia" w:ascii="宋体" w:hAnsi="宋体" w:eastAsia="宋体"/>
          <w:sz w:val="24"/>
          <w:szCs w:val="24"/>
        </w:rPr>
        <w:t>的正常运行，需继续购买维保服务。</w:t>
      </w:r>
    </w:p>
    <w:p w14:paraId="2C30BA3B">
      <w:pPr>
        <w:pStyle w:val="9"/>
        <w:spacing w:line="312" w:lineRule="auto"/>
        <w:ind w:firstLine="0" w:firstLineChars="0"/>
        <w:rPr>
          <w:rFonts w:hint="eastAsia" w:ascii="宋体" w:hAnsi="宋体" w:eastAsia="宋体"/>
          <w:sz w:val="24"/>
          <w:szCs w:val="24"/>
        </w:rPr>
      </w:pPr>
      <w:r>
        <w:rPr>
          <w:rFonts w:hint="eastAsia" w:ascii="宋体" w:hAnsi="宋体" w:eastAsia="宋体"/>
          <w:b/>
          <w:sz w:val="28"/>
          <w:szCs w:val="28"/>
        </w:rPr>
        <w:t>二、项目建设内容及要求</w:t>
      </w:r>
    </w:p>
    <w:tbl>
      <w:tblPr>
        <w:tblStyle w:val="7"/>
        <w:tblW w:w="8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93"/>
        <w:gridCol w:w="4634"/>
        <w:gridCol w:w="847"/>
        <w:gridCol w:w="736"/>
      </w:tblGrid>
      <w:tr w14:paraId="7499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tcPr>
          <w:p w14:paraId="7AC38282">
            <w:pPr>
              <w:spacing w:line="312" w:lineRule="auto"/>
              <w:jc w:val="center"/>
              <w:rPr>
                <w:rFonts w:hint="eastAsia" w:ascii="宋体" w:hAnsi="宋体" w:eastAsia="宋体"/>
                <w:sz w:val="24"/>
                <w:szCs w:val="24"/>
              </w:rPr>
            </w:pPr>
            <w:r>
              <w:rPr>
                <w:rFonts w:hint="eastAsia" w:ascii="宋体" w:hAnsi="宋体" w:eastAsia="宋体"/>
                <w:sz w:val="24"/>
                <w:szCs w:val="24"/>
              </w:rPr>
              <w:t>序号</w:t>
            </w:r>
          </w:p>
        </w:tc>
        <w:tc>
          <w:tcPr>
            <w:tcW w:w="1193" w:type="dxa"/>
          </w:tcPr>
          <w:p w14:paraId="69C146EA">
            <w:pPr>
              <w:spacing w:line="312" w:lineRule="auto"/>
              <w:jc w:val="center"/>
              <w:rPr>
                <w:rFonts w:hint="eastAsia" w:ascii="宋体" w:hAnsi="宋体" w:eastAsia="宋体"/>
                <w:sz w:val="24"/>
                <w:szCs w:val="24"/>
              </w:rPr>
            </w:pPr>
            <w:r>
              <w:rPr>
                <w:rFonts w:hint="eastAsia" w:ascii="宋体" w:hAnsi="宋体" w:eastAsia="宋体"/>
                <w:sz w:val="24"/>
                <w:szCs w:val="24"/>
              </w:rPr>
              <w:t>模块</w:t>
            </w:r>
          </w:p>
        </w:tc>
        <w:tc>
          <w:tcPr>
            <w:tcW w:w="4634" w:type="dxa"/>
          </w:tcPr>
          <w:p w14:paraId="67335B1D">
            <w:pPr>
              <w:spacing w:line="312" w:lineRule="auto"/>
              <w:jc w:val="center"/>
              <w:rPr>
                <w:rFonts w:hint="eastAsia" w:ascii="宋体" w:hAnsi="宋体" w:eastAsia="宋体"/>
                <w:sz w:val="24"/>
                <w:szCs w:val="24"/>
              </w:rPr>
            </w:pPr>
            <w:r>
              <w:rPr>
                <w:rFonts w:hint="eastAsia" w:ascii="宋体" w:hAnsi="宋体" w:eastAsia="宋体"/>
                <w:sz w:val="24"/>
                <w:szCs w:val="24"/>
              </w:rPr>
              <w:t>内容描述</w:t>
            </w:r>
          </w:p>
        </w:tc>
        <w:tc>
          <w:tcPr>
            <w:tcW w:w="847" w:type="dxa"/>
          </w:tcPr>
          <w:p w14:paraId="533B14A0">
            <w:pPr>
              <w:spacing w:line="312" w:lineRule="auto"/>
              <w:jc w:val="center"/>
              <w:rPr>
                <w:rFonts w:hint="eastAsia" w:ascii="宋体" w:hAnsi="宋体" w:eastAsia="宋体"/>
                <w:sz w:val="24"/>
                <w:szCs w:val="24"/>
              </w:rPr>
            </w:pPr>
            <w:r>
              <w:rPr>
                <w:rFonts w:hint="eastAsia" w:ascii="宋体" w:hAnsi="宋体" w:eastAsia="宋体"/>
                <w:sz w:val="24"/>
                <w:szCs w:val="24"/>
              </w:rPr>
              <w:t>数量</w:t>
            </w:r>
          </w:p>
        </w:tc>
        <w:tc>
          <w:tcPr>
            <w:tcW w:w="736" w:type="dxa"/>
          </w:tcPr>
          <w:p w14:paraId="7C56BD8C">
            <w:pPr>
              <w:spacing w:line="312" w:lineRule="auto"/>
              <w:jc w:val="center"/>
              <w:rPr>
                <w:rFonts w:hint="eastAsia" w:ascii="宋体" w:hAnsi="宋体" w:eastAsia="宋体"/>
                <w:sz w:val="24"/>
                <w:szCs w:val="24"/>
              </w:rPr>
            </w:pPr>
            <w:r>
              <w:rPr>
                <w:rFonts w:hint="eastAsia" w:ascii="宋体" w:hAnsi="宋体" w:eastAsia="宋体"/>
                <w:sz w:val="24"/>
                <w:szCs w:val="24"/>
              </w:rPr>
              <w:t>单位</w:t>
            </w:r>
          </w:p>
        </w:tc>
      </w:tr>
      <w:tr w14:paraId="2227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98" w:type="dxa"/>
            <w:vMerge w:val="restart"/>
            <w:vAlign w:val="center"/>
          </w:tcPr>
          <w:p w14:paraId="773D0F33">
            <w:pPr>
              <w:spacing w:line="312" w:lineRule="auto"/>
              <w:jc w:val="center"/>
              <w:rPr>
                <w:rFonts w:hint="eastAsia" w:ascii="Times New Roman" w:hAnsi="Times New Roman" w:eastAsiaTheme="minorEastAsia" w:cstheme="minorBidi"/>
                <w:kern w:val="0"/>
                <w:sz w:val="20"/>
                <w:szCs w:val="24"/>
                <w:lang w:val="en-US" w:eastAsia="zh-CN" w:bidi="ar-SA"/>
              </w:rPr>
            </w:pPr>
            <w:r>
              <w:rPr>
                <w:rFonts w:hint="eastAsia" w:ascii="Times New Roman" w:hAnsi="Times New Roman" w:eastAsiaTheme="minorEastAsia" w:cstheme="minorBidi"/>
                <w:kern w:val="0"/>
                <w:sz w:val="20"/>
                <w:szCs w:val="24"/>
                <w:lang w:val="en-US" w:eastAsia="zh-CN" w:bidi="ar-SA"/>
              </w:rPr>
              <w:t>1</w:t>
            </w:r>
          </w:p>
        </w:tc>
        <w:tc>
          <w:tcPr>
            <w:tcW w:w="1193" w:type="dxa"/>
            <w:vMerge w:val="restart"/>
            <w:vAlign w:val="center"/>
          </w:tcPr>
          <w:p w14:paraId="09827092">
            <w:pPr>
              <w:spacing w:line="312" w:lineRule="auto"/>
              <w:jc w:val="center"/>
              <w:rPr>
                <w:rFonts w:hint="eastAsia" w:ascii="Times New Roman" w:hAnsi="Times New Roman" w:eastAsiaTheme="minorEastAsia" w:cstheme="minorBidi"/>
                <w:kern w:val="0"/>
                <w:sz w:val="20"/>
                <w:szCs w:val="24"/>
                <w:lang w:val="en-US" w:eastAsia="zh-CN" w:bidi="ar-SA"/>
              </w:rPr>
            </w:pPr>
            <w:r>
              <w:rPr>
                <w:rFonts w:hint="eastAsia" w:ascii="Times New Roman" w:hAnsi="Times New Roman" w:eastAsiaTheme="minorEastAsia" w:cstheme="minorBidi"/>
                <w:kern w:val="0"/>
                <w:sz w:val="20"/>
                <w:szCs w:val="24"/>
                <w:lang w:val="en-US" w:eastAsia="zh-CN" w:bidi="ar-SA"/>
              </w:rPr>
              <w:t>维保服务</w:t>
            </w:r>
          </w:p>
        </w:tc>
        <w:tc>
          <w:tcPr>
            <w:tcW w:w="4634" w:type="dxa"/>
          </w:tcPr>
          <w:p w14:paraId="427EA559">
            <w:pPr>
              <w:pStyle w:val="2"/>
              <w:rPr>
                <w:rFonts w:hint="eastAsia"/>
                <w:lang w:val="en-US" w:eastAsia="zh-CN"/>
              </w:rPr>
            </w:pPr>
            <w:r>
              <w:rPr>
                <w:rFonts w:hint="eastAsia"/>
                <w:lang w:val="en-US" w:eastAsia="zh-CN"/>
              </w:rPr>
              <w:t>服务形式：</w:t>
            </w:r>
          </w:p>
          <w:p w14:paraId="7C079971">
            <w:pPr>
              <w:pStyle w:val="2"/>
              <w:numPr>
                <w:ilvl w:val="0"/>
                <w:numId w:val="2"/>
              </w:numPr>
              <w:rPr>
                <w:rFonts w:hint="eastAsia"/>
                <w:lang w:val="en-US" w:eastAsia="zh-CN"/>
              </w:rPr>
            </w:pPr>
            <w:r>
              <w:rPr>
                <w:rFonts w:hint="eastAsia"/>
                <w:lang w:val="en-US" w:eastAsia="zh-CN"/>
              </w:rPr>
              <w:t>在线服务：通过乙方维保运维平台为我方提交问题、查询问题、解答问题提供在线服务，乙方在线服务能够及时、方便地为我方提供技术服务。</w:t>
            </w:r>
          </w:p>
          <w:p w14:paraId="5B3F9CE4">
            <w:pPr>
              <w:pStyle w:val="2"/>
              <w:numPr>
                <w:ilvl w:val="0"/>
                <w:numId w:val="2"/>
              </w:numPr>
              <w:ind w:left="0" w:leftChars="0" w:firstLine="0" w:firstLineChars="0"/>
              <w:rPr>
                <w:rFonts w:hint="eastAsia"/>
                <w:lang w:val="en-US" w:eastAsia="zh-CN"/>
              </w:rPr>
            </w:pPr>
            <w:r>
              <w:rPr>
                <w:rFonts w:hint="eastAsia"/>
                <w:lang w:val="en-US" w:eastAsia="zh-CN"/>
              </w:rPr>
              <w:t>热线服务：乙方服务人员通过热线电话为我方解答技术问题的过程。</w:t>
            </w:r>
          </w:p>
          <w:p w14:paraId="2EBDB523">
            <w:pPr>
              <w:pStyle w:val="2"/>
              <w:numPr>
                <w:ilvl w:val="0"/>
                <w:numId w:val="2"/>
              </w:numPr>
              <w:ind w:left="0" w:leftChars="0" w:firstLine="0" w:firstLineChars="0"/>
              <w:rPr>
                <w:rFonts w:hint="eastAsia"/>
                <w:lang w:val="en-US" w:eastAsia="zh-CN"/>
              </w:rPr>
            </w:pPr>
            <w:r>
              <w:rPr>
                <w:rFonts w:hint="eastAsia"/>
                <w:lang w:val="en-US" w:eastAsia="zh-CN"/>
              </w:rPr>
              <w:t>远程服务：乙方通过远程系统对我方的软件系统进行远程调试的过程。</w:t>
            </w:r>
          </w:p>
          <w:p w14:paraId="08523CE1">
            <w:pPr>
              <w:pStyle w:val="2"/>
              <w:numPr>
                <w:ilvl w:val="0"/>
                <w:numId w:val="2"/>
              </w:numPr>
              <w:ind w:left="0" w:leftChars="0" w:firstLine="0" w:firstLineChars="0"/>
              <w:rPr>
                <w:rFonts w:hint="default" w:eastAsiaTheme="minorEastAsia"/>
                <w:lang w:val="en-US" w:eastAsia="zh-CN"/>
              </w:rPr>
            </w:pPr>
            <w:r>
              <w:rPr>
                <w:rFonts w:hint="default" w:eastAsiaTheme="minorEastAsia"/>
                <w:lang w:val="en-US" w:eastAsia="zh-CN"/>
              </w:rPr>
              <w:t>现场服务：在其它形式服务无法解决问题时，乙方派遣技术人员到</w:t>
            </w:r>
            <w:r>
              <w:rPr>
                <w:rFonts w:hint="eastAsia"/>
                <w:lang w:val="en-US" w:eastAsia="zh-CN"/>
              </w:rPr>
              <w:t>我方</w:t>
            </w:r>
            <w:r>
              <w:rPr>
                <w:rFonts w:hint="default" w:eastAsiaTheme="minorEastAsia"/>
                <w:lang w:val="en-US" w:eastAsia="zh-CN"/>
              </w:rPr>
              <w:t>软件使用现场解决问题，并对软件系统进行系统保障的过程</w:t>
            </w:r>
            <w:r>
              <w:rPr>
                <w:rFonts w:hint="eastAsia"/>
                <w:lang w:val="en-US" w:eastAsia="zh-CN"/>
              </w:rPr>
              <w:t>。</w:t>
            </w:r>
          </w:p>
        </w:tc>
        <w:tc>
          <w:tcPr>
            <w:tcW w:w="847" w:type="dxa"/>
            <w:vMerge w:val="restart"/>
            <w:vAlign w:val="center"/>
          </w:tcPr>
          <w:p w14:paraId="4FD9041E">
            <w:pPr>
              <w:spacing w:line="312" w:lineRule="auto"/>
              <w:jc w:val="center"/>
              <w:rPr>
                <w:rFonts w:hint="eastAsia" w:ascii="Times New Roman" w:hAnsi="Times New Roman" w:eastAsiaTheme="minorEastAsia" w:cstheme="minorBidi"/>
                <w:kern w:val="0"/>
                <w:sz w:val="20"/>
                <w:szCs w:val="24"/>
                <w:lang w:val="en-US" w:eastAsia="zh-CN" w:bidi="ar-SA"/>
              </w:rPr>
            </w:pPr>
            <w:r>
              <w:rPr>
                <w:rFonts w:hint="eastAsia" w:ascii="Times New Roman" w:hAnsi="Times New Roman" w:eastAsiaTheme="minorEastAsia" w:cstheme="minorBidi"/>
                <w:kern w:val="0"/>
                <w:sz w:val="20"/>
                <w:szCs w:val="24"/>
                <w:lang w:val="en-US" w:eastAsia="zh-CN" w:bidi="ar-SA"/>
              </w:rPr>
              <w:t>3</w:t>
            </w:r>
          </w:p>
        </w:tc>
        <w:tc>
          <w:tcPr>
            <w:tcW w:w="736" w:type="dxa"/>
            <w:vMerge w:val="restart"/>
            <w:vAlign w:val="center"/>
          </w:tcPr>
          <w:p w14:paraId="3E19C12A">
            <w:pPr>
              <w:spacing w:line="312" w:lineRule="auto"/>
              <w:jc w:val="center"/>
              <w:rPr>
                <w:rFonts w:hint="eastAsia" w:ascii="Times New Roman" w:hAnsi="Times New Roman" w:eastAsiaTheme="minorEastAsia" w:cstheme="minorBidi"/>
                <w:kern w:val="0"/>
                <w:sz w:val="20"/>
                <w:szCs w:val="24"/>
                <w:lang w:val="en-US" w:eastAsia="zh-CN" w:bidi="ar-SA"/>
              </w:rPr>
            </w:pPr>
            <w:r>
              <w:rPr>
                <w:rFonts w:hint="eastAsia" w:ascii="Times New Roman" w:hAnsi="Times New Roman" w:eastAsiaTheme="minorEastAsia" w:cstheme="minorBidi"/>
                <w:kern w:val="0"/>
                <w:sz w:val="20"/>
                <w:szCs w:val="24"/>
                <w:lang w:val="en-US" w:eastAsia="zh-CN" w:bidi="ar-SA"/>
              </w:rPr>
              <w:t>年</w:t>
            </w:r>
          </w:p>
        </w:tc>
      </w:tr>
      <w:tr w14:paraId="354E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98" w:type="dxa"/>
            <w:vMerge w:val="continue"/>
            <w:vAlign w:val="center"/>
          </w:tcPr>
          <w:p w14:paraId="1C58041B">
            <w:pPr>
              <w:pStyle w:val="2"/>
            </w:pPr>
          </w:p>
        </w:tc>
        <w:tc>
          <w:tcPr>
            <w:tcW w:w="1193" w:type="dxa"/>
            <w:vMerge w:val="continue"/>
            <w:vAlign w:val="center"/>
          </w:tcPr>
          <w:p w14:paraId="6AF4685F">
            <w:pPr>
              <w:pStyle w:val="2"/>
            </w:pPr>
          </w:p>
        </w:tc>
        <w:tc>
          <w:tcPr>
            <w:tcW w:w="4634" w:type="dxa"/>
          </w:tcPr>
          <w:p w14:paraId="17718C28">
            <w:pPr>
              <w:pStyle w:val="2"/>
              <w:rPr>
                <w:rFonts w:hint="eastAsia"/>
                <w:lang w:val="en-US" w:eastAsia="zh-CN"/>
              </w:rPr>
            </w:pPr>
            <w:r>
              <w:rPr>
                <w:rFonts w:hint="eastAsia"/>
                <w:lang w:val="en-US" w:eastAsia="zh-CN"/>
              </w:rPr>
              <w:t>技术服务内容：</w:t>
            </w:r>
          </w:p>
          <w:p w14:paraId="70379E52">
            <w:pPr>
              <w:pStyle w:val="2"/>
              <w:numPr>
                <w:ilvl w:val="0"/>
                <w:numId w:val="3"/>
              </w:numPr>
              <w:rPr>
                <w:rFonts w:hint="default"/>
                <w:lang w:val="en-US" w:eastAsia="zh-CN"/>
              </w:rPr>
            </w:pPr>
            <w:r>
              <w:rPr>
                <w:rFonts w:hint="eastAsia"/>
                <w:lang w:val="en-US" w:eastAsia="zh-CN"/>
              </w:rPr>
              <w:t>处理系统数据库或系统发生严重故障或在关键处理时期内，主应用程序出现故障而使我方的系统停滞并且不能用系统处理数据；</w:t>
            </w:r>
          </w:p>
          <w:p w14:paraId="0A7E9BE3">
            <w:pPr>
              <w:pStyle w:val="2"/>
              <w:numPr>
                <w:ilvl w:val="0"/>
                <w:numId w:val="0"/>
              </w:numPr>
              <w:rPr>
                <w:rFonts w:hint="default"/>
                <w:lang w:val="en-US" w:eastAsia="zh-CN"/>
              </w:rPr>
            </w:pPr>
            <w:r>
              <w:rPr>
                <w:rFonts w:hint="eastAsia"/>
                <w:lang w:val="en-US" w:eastAsia="zh-CN"/>
              </w:rPr>
              <w:t>2、处理系统发生问题而我方的主要业务受到严重干扰并且无法轻易解决（暂时性地）的问题；</w:t>
            </w:r>
          </w:p>
          <w:p w14:paraId="1549DA93">
            <w:pPr>
              <w:pStyle w:val="2"/>
              <w:numPr>
                <w:ilvl w:val="0"/>
                <w:numId w:val="0"/>
              </w:numPr>
              <w:rPr>
                <w:rFonts w:hint="default"/>
                <w:lang w:val="en-US" w:eastAsia="zh-CN"/>
              </w:rPr>
            </w:pPr>
            <w:r>
              <w:rPr>
                <w:rFonts w:hint="eastAsia"/>
                <w:lang w:val="en-US" w:eastAsia="zh-CN"/>
              </w:rPr>
              <w:t>3、处理系统发生非关键性问题，导致我方不能继续运行系统或者操作；</w:t>
            </w:r>
          </w:p>
          <w:p w14:paraId="5E936377">
            <w:pPr>
              <w:pStyle w:val="2"/>
              <w:numPr>
                <w:ilvl w:val="0"/>
                <w:numId w:val="0"/>
              </w:numPr>
              <w:rPr>
                <w:rFonts w:hint="default"/>
                <w:lang w:val="en-US" w:eastAsia="zh-CN"/>
              </w:rPr>
            </w:pPr>
            <w:r>
              <w:rPr>
                <w:rFonts w:hint="eastAsia"/>
                <w:lang w:val="en-US" w:eastAsia="zh-CN"/>
              </w:rPr>
              <w:t>4、修复系统BUG。</w:t>
            </w:r>
          </w:p>
        </w:tc>
        <w:tc>
          <w:tcPr>
            <w:tcW w:w="847" w:type="dxa"/>
            <w:vMerge w:val="continue"/>
            <w:vAlign w:val="center"/>
          </w:tcPr>
          <w:p w14:paraId="32811ECC">
            <w:pPr>
              <w:pStyle w:val="2"/>
              <w:rPr>
                <w:lang w:val="en-US"/>
              </w:rPr>
            </w:pPr>
          </w:p>
        </w:tc>
        <w:tc>
          <w:tcPr>
            <w:tcW w:w="736" w:type="dxa"/>
            <w:vMerge w:val="continue"/>
            <w:vAlign w:val="center"/>
          </w:tcPr>
          <w:p w14:paraId="6C2B91DC">
            <w:pPr>
              <w:pStyle w:val="2"/>
              <w:rPr>
                <w:lang w:val="en-US"/>
              </w:rPr>
            </w:pPr>
          </w:p>
        </w:tc>
      </w:tr>
      <w:tr w14:paraId="269F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atLeast"/>
          <w:jc w:val="center"/>
        </w:trPr>
        <w:tc>
          <w:tcPr>
            <w:tcW w:w="698" w:type="dxa"/>
            <w:vMerge w:val="continue"/>
            <w:vAlign w:val="center"/>
          </w:tcPr>
          <w:p w14:paraId="78CDC5C8">
            <w:pPr>
              <w:pStyle w:val="2"/>
              <w:rPr>
                <w:lang w:val="en-US"/>
              </w:rPr>
            </w:pPr>
          </w:p>
        </w:tc>
        <w:tc>
          <w:tcPr>
            <w:tcW w:w="1193" w:type="dxa"/>
            <w:vMerge w:val="continue"/>
            <w:vAlign w:val="center"/>
          </w:tcPr>
          <w:p w14:paraId="28DF8D95">
            <w:pPr>
              <w:pStyle w:val="2"/>
              <w:rPr>
                <w:lang w:val="en-US"/>
              </w:rPr>
            </w:pPr>
          </w:p>
        </w:tc>
        <w:tc>
          <w:tcPr>
            <w:tcW w:w="4634" w:type="dxa"/>
          </w:tcPr>
          <w:p w14:paraId="29C64C9C">
            <w:pPr>
              <w:pStyle w:val="2"/>
              <w:rPr>
                <w:rFonts w:hint="default" w:eastAsiaTheme="minorEastAsia"/>
                <w:lang w:val="en-US" w:eastAsia="zh-CN"/>
              </w:rPr>
            </w:pPr>
            <w:r>
              <w:rPr>
                <w:rFonts w:hint="eastAsia"/>
                <w:lang w:val="en-US" w:eastAsia="zh-CN"/>
              </w:rPr>
              <w:t>响应服务：</w:t>
            </w:r>
          </w:p>
          <w:p w14:paraId="39F66AF3">
            <w:pPr>
              <w:pStyle w:val="2"/>
              <w:rPr>
                <w:rFonts w:hint="eastAsia"/>
                <w:lang w:val="en-US"/>
              </w:rPr>
            </w:pPr>
            <w:r>
              <w:rPr>
                <w:rFonts w:hint="eastAsia"/>
                <w:lang w:val="en-US"/>
              </w:rPr>
              <w:t>1、“响应时间”是指从乙方接到甲方（或院方）服务请求之后，到与甲方（或院方）进行沟通并对甲方（或院方）做出服务承诺的时间。</w:t>
            </w:r>
          </w:p>
          <w:p w14:paraId="187138EF">
            <w:pPr>
              <w:pStyle w:val="2"/>
              <w:rPr>
                <w:rFonts w:hint="eastAsia"/>
                <w:lang w:val="en-US"/>
              </w:rPr>
            </w:pPr>
            <w:r>
              <w:rPr>
                <w:rFonts w:hint="eastAsia"/>
                <w:lang w:val="en-US"/>
              </w:rPr>
              <w:t>2、提供7x24小时免费技术支持，包括通过采用乙方维保运维平台、电话、远程维护、现场服务等方式。保证有足够的人员负责本系统运维工作，并保证2小时内对用户的维护请求予以响应。</w:t>
            </w:r>
          </w:p>
          <w:p w14:paraId="1A1FC7CE">
            <w:pPr>
              <w:pStyle w:val="2"/>
              <w:rPr>
                <w:lang w:val="en-US"/>
              </w:rPr>
            </w:pPr>
            <w:r>
              <w:rPr>
                <w:rFonts w:hint="eastAsia"/>
                <w:lang w:val="en-US"/>
              </w:rPr>
              <w:t>3、系统故障、BUG等影响系统稳定运行的问题在24小时之内解决。</w:t>
            </w:r>
          </w:p>
        </w:tc>
        <w:tc>
          <w:tcPr>
            <w:tcW w:w="847" w:type="dxa"/>
            <w:vMerge w:val="continue"/>
            <w:vAlign w:val="center"/>
          </w:tcPr>
          <w:p w14:paraId="6EC97889">
            <w:pPr>
              <w:pStyle w:val="2"/>
              <w:rPr>
                <w:lang w:val="en-US"/>
              </w:rPr>
            </w:pPr>
          </w:p>
        </w:tc>
        <w:tc>
          <w:tcPr>
            <w:tcW w:w="736" w:type="dxa"/>
            <w:vMerge w:val="continue"/>
            <w:vAlign w:val="center"/>
          </w:tcPr>
          <w:p w14:paraId="4B45DA3D">
            <w:pPr>
              <w:pStyle w:val="2"/>
              <w:rPr>
                <w:lang w:val="en-US"/>
              </w:rPr>
            </w:pPr>
          </w:p>
        </w:tc>
      </w:tr>
    </w:tbl>
    <w:p w14:paraId="7741F731">
      <w:pPr>
        <w:pStyle w:val="2"/>
        <w:spacing w:after="0" w:line="312" w:lineRule="auto"/>
        <w:rPr>
          <w:rFonts w:hint="eastAsia" w:ascii="宋体" w:hAnsi="宋体" w:eastAsia="宋体" w:cs="宋体"/>
          <w:b/>
          <w:bCs/>
          <w:sz w:val="28"/>
          <w:lang w:val="en-US"/>
        </w:rPr>
      </w:pPr>
      <w:r>
        <w:rPr>
          <w:rFonts w:hint="eastAsia" w:ascii="宋体" w:hAnsi="宋体" w:eastAsia="宋体" w:cs="宋体"/>
          <w:b/>
          <w:bCs/>
          <w:sz w:val="28"/>
          <w:lang w:val="en-US"/>
        </w:rPr>
        <w:t>三、对接口及系统改造的要求</w:t>
      </w:r>
    </w:p>
    <w:p w14:paraId="73A25AF3">
      <w:pPr>
        <w:spacing w:line="312" w:lineRule="auto"/>
        <w:rPr>
          <w:rFonts w:hint="eastAsia" w:ascii="宋体" w:hAnsi="宋体" w:eastAsia="宋体" w:cs="宋体"/>
          <w:b/>
          <w:bCs/>
          <w:sz w:val="24"/>
          <w:szCs w:val="24"/>
        </w:rPr>
      </w:pPr>
      <w:r>
        <w:rPr>
          <w:rFonts w:hint="eastAsia" w:ascii="宋体" w:hAnsi="宋体" w:eastAsia="宋体" w:cs="宋体"/>
          <w:b/>
          <w:bCs/>
          <w:sz w:val="24"/>
          <w:szCs w:val="24"/>
        </w:rPr>
        <w:tab/>
      </w:r>
      <w:r>
        <w:rPr>
          <w:rFonts w:hint="eastAsia" w:ascii="宋体" w:hAnsi="宋体" w:eastAsia="宋体" w:cs="宋体"/>
          <w:b/>
          <w:bCs/>
          <w:sz w:val="24"/>
          <w:szCs w:val="24"/>
        </w:rPr>
        <w:t>质保期和维保期内免费实现以下要求：</w:t>
      </w:r>
    </w:p>
    <w:p w14:paraId="7666D619">
      <w:pPr>
        <w:pStyle w:val="2"/>
        <w:spacing w:after="0" w:line="312" w:lineRule="auto"/>
        <w:ind w:firstLine="420"/>
        <w:rPr>
          <w:rFonts w:hint="eastAsia" w:ascii="宋体" w:hAnsi="宋体" w:eastAsia="宋体" w:cs="宋体"/>
          <w:sz w:val="24"/>
          <w:lang w:val="en-US"/>
        </w:rPr>
      </w:pPr>
      <w:r>
        <w:rPr>
          <w:rFonts w:hint="eastAsia" w:ascii="宋体" w:hAnsi="宋体" w:eastAsia="宋体" w:cs="宋体"/>
          <w:sz w:val="24"/>
          <w:lang w:val="en-US"/>
        </w:rPr>
        <w:t>3.1提供全面的接口技术，与第三方系统共享数据和功能，这些接口技术包括中间件技术接口、WEBSEVICE通用接口、数据库级接口、文件文本接口等。</w:t>
      </w:r>
    </w:p>
    <w:p w14:paraId="7AB8E5B0">
      <w:pPr>
        <w:pStyle w:val="2"/>
        <w:spacing w:after="0" w:line="312" w:lineRule="auto"/>
        <w:ind w:firstLine="420"/>
        <w:rPr>
          <w:rFonts w:hint="eastAsia" w:ascii="宋体" w:hAnsi="宋体" w:eastAsia="宋体" w:cs="宋体"/>
          <w:sz w:val="24"/>
          <w:lang w:val="en-US"/>
        </w:rPr>
      </w:pPr>
      <w:r>
        <w:rPr>
          <w:rFonts w:hint="eastAsia" w:ascii="宋体" w:hAnsi="宋体" w:eastAsia="宋体" w:cs="宋体"/>
          <w:sz w:val="24"/>
          <w:lang w:val="en-US"/>
        </w:rPr>
        <w:t>3.2提供与医院第三方系统统一接口的维护与管理，与HIS、电子病历、LIS、PACS、心电系统、体检系统、集成平台、智慧运营平台、成本管理系统、排班系统、人力资源管理系统、财务管理系统、互联网医院、OA系统、自助服务平台、DRG管理、绩效管理、电子发票、短信平台、财务电子档案等其他所有医院相关业务系统（包括以上医院系统但不仅限于以上系统）进行免费接口对接，实现数据交换。</w:t>
      </w:r>
    </w:p>
    <w:p w14:paraId="2B64AD4C">
      <w:pPr>
        <w:pStyle w:val="2"/>
        <w:spacing w:after="0" w:line="312" w:lineRule="auto"/>
        <w:ind w:firstLine="420"/>
        <w:rPr>
          <w:rFonts w:hint="eastAsia" w:ascii="宋体" w:hAnsi="宋体" w:eastAsia="宋体" w:cs="宋体"/>
          <w:sz w:val="24"/>
          <w:lang w:val="en-US"/>
        </w:rPr>
      </w:pPr>
      <w:r>
        <w:rPr>
          <w:rFonts w:hint="eastAsia" w:ascii="宋体" w:hAnsi="宋体" w:eastAsia="宋体" w:cs="宋体"/>
          <w:sz w:val="24"/>
          <w:lang w:val="en-US"/>
        </w:rPr>
        <w:t>3.3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14:paraId="5C373FC3">
      <w:pPr>
        <w:pStyle w:val="2"/>
        <w:spacing w:after="0" w:line="312" w:lineRule="auto"/>
        <w:ind w:firstLine="420"/>
        <w:rPr>
          <w:rFonts w:hint="eastAsia" w:ascii="宋体" w:hAnsi="宋体" w:eastAsia="宋体" w:cs="宋体"/>
          <w:sz w:val="24"/>
          <w:lang w:val="en-US"/>
        </w:rPr>
      </w:pPr>
      <w:r>
        <w:rPr>
          <w:rFonts w:hint="eastAsia" w:ascii="宋体" w:hAnsi="宋体" w:eastAsia="宋体" w:cs="宋体"/>
          <w:sz w:val="24"/>
          <w:lang w:val="en-US"/>
        </w:rPr>
        <w:t>3.4提供软件免费升级及个性化修改服务，免费实现院方的个性化需求；软件自身错误类问题提供永久性免费修改服务；</w:t>
      </w:r>
    </w:p>
    <w:p w14:paraId="29A9ECD5">
      <w:pPr>
        <w:pStyle w:val="2"/>
        <w:spacing w:after="0" w:line="312" w:lineRule="auto"/>
        <w:ind w:firstLine="420"/>
        <w:rPr>
          <w:rFonts w:hint="eastAsia" w:ascii="宋体" w:hAnsi="宋体" w:eastAsia="宋体" w:cs="宋体"/>
          <w:sz w:val="24"/>
          <w:lang w:val="en-US"/>
        </w:rPr>
      </w:pPr>
      <w:r>
        <w:rPr>
          <w:rFonts w:hint="eastAsia" w:ascii="宋体" w:hAnsi="宋体" w:eastAsia="宋体" w:cs="宋体"/>
          <w:sz w:val="24"/>
          <w:lang w:val="en-US"/>
        </w:rPr>
        <w:t>3.5免费提供医院新增业务信息系统的对接、免费实现医院上级管理部门要求的系统接口对接要求。</w:t>
      </w:r>
    </w:p>
    <w:p w14:paraId="70437124">
      <w:pPr>
        <w:pStyle w:val="2"/>
        <w:spacing w:after="0" w:line="312" w:lineRule="auto"/>
        <w:ind w:firstLine="420"/>
        <w:rPr>
          <w:rFonts w:hint="eastAsia" w:ascii="宋体" w:hAnsi="宋体" w:eastAsia="宋体" w:cs="宋体"/>
          <w:sz w:val="24"/>
          <w:lang w:val="en-US"/>
        </w:rPr>
      </w:pPr>
      <w:r>
        <w:rPr>
          <w:rFonts w:hint="eastAsia" w:ascii="宋体" w:hAnsi="宋体" w:eastAsia="宋体" w:cs="宋体"/>
          <w:sz w:val="24"/>
          <w:lang w:val="en-US"/>
        </w:rPr>
        <w:t>3.6免费系统改造支持信创国产电脑及服务器。</w:t>
      </w:r>
    </w:p>
    <w:p w14:paraId="0DB465C4">
      <w:pPr>
        <w:pStyle w:val="2"/>
        <w:spacing w:after="0" w:line="312" w:lineRule="auto"/>
        <w:ind w:firstLine="420"/>
        <w:rPr>
          <w:rFonts w:hint="eastAsia" w:ascii="宋体" w:hAnsi="宋体" w:eastAsia="宋体" w:cs="宋体"/>
          <w:sz w:val="24"/>
          <w:lang w:val="en-US"/>
        </w:rPr>
      </w:pPr>
      <w:r>
        <w:rPr>
          <w:rFonts w:hint="eastAsia" w:ascii="宋体" w:hAnsi="宋体" w:eastAsia="宋体" w:cs="宋体"/>
          <w:sz w:val="24"/>
          <w:lang w:val="en-US"/>
        </w:rPr>
        <w:t>3.7使用不限定用户数、并发数、不限定医疗集团内部及院区使用。</w:t>
      </w:r>
    </w:p>
    <w:p w14:paraId="39ADE40D">
      <w:pPr>
        <w:pStyle w:val="2"/>
        <w:spacing w:after="0" w:line="312" w:lineRule="auto"/>
        <w:rPr>
          <w:rFonts w:hint="eastAsia" w:ascii="宋体" w:hAnsi="宋体" w:eastAsia="宋体" w:cs="宋体"/>
          <w:b/>
          <w:bCs/>
          <w:sz w:val="28"/>
          <w:lang w:val="en-US"/>
        </w:rPr>
      </w:pPr>
      <w:bookmarkStart w:id="0" w:name="_Toc507405798"/>
      <w:r>
        <w:rPr>
          <w:rFonts w:hint="eastAsia" w:ascii="宋体" w:hAnsi="宋体" w:eastAsia="宋体" w:cs="宋体"/>
          <w:b/>
          <w:bCs/>
          <w:sz w:val="28"/>
          <w:lang w:val="en-US" w:eastAsia="zh-CN"/>
        </w:rPr>
        <w:t>四</w:t>
      </w:r>
      <w:r>
        <w:rPr>
          <w:rFonts w:hint="eastAsia" w:ascii="宋体" w:hAnsi="宋体" w:eastAsia="宋体" w:cs="宋体"/>
          <w:b/>
          <w:bCs/>
          <w:sz w:val="28"/>
          <w:lang w:val="en-US"/>
        </w:rPr>
        <w:t>、违约责任</w:t>
      </w:r>
    </w:p>
    <w:p w14:paraId="22B88919">
      <w:pPr>
        <w:spacing w:line="312"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w:t>
      </w:r>
      <w:bookmarkStart w:id="3" w:name="_GoBack"/>
      <w:bookmarkEnd w:id="3"/>
      <w:r>
        <w:rPr>
          <w:rFonts w:hint="eastAsia" w:ascii="宋体" w:hAnsi="宋体" w:eastAsia="宋体" w:cs="宋体"/>
          <w:sz w:val="24"/>
          <w:szCs w:val="24"/>
        </w:rPr>
        <w:t>.1投标方所提供的产品/软件规格、技术标准、材料等质量不合格的，应及时更换，更换不及时的按逾期交货/交付处罚；因质量问题我院不同意接收，投标方应向我院支付违约货款额5%违约金并赔偿我院经济损失。</w:t>
      </w:r>
    </w:p>
    <w:p w14:paraId="1309CFE4">
      <w:pPr>
        <w:spacing w:line="312"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.2若投标方提供的产品或软件侵犯了第三方合法权益而引发的任何纠纷或诉讼，均由投标方负责交涉并承担全部责任。</w:t>
      </w:r>
    </w:p>
    <w:p w14:paraId="471D3F0D">
      <w:pPr>
        <w:spacing w:line="312" w:lineRule="auto"/>
        <w:ind w:firstLine="42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3因包装、运输引起的货物损坏，按质量不合格处理。设备安装、调试完成之日起三个月内为设备质保期，在质保期期间若出现设备硬件故障或损坏的情况，我院有权要求投标方更换同等型号和配置的新设备，设备换新、安装、调试产生的所有费用由投标方承担。</w:t>
      </w:r>
    </w:p>
    <w:p w14:paraId="59670A39">
      <w:pPr>
        <w:pStyle w:val="2"/>
        <w:spacing w:after="0" w:line="312" w:lineRule="auto"/>
        <w:ind w:firstLine="420"/>
        <w:rPr>
          <w:rFonts w:hint="eastAsia" w:ascii="宋体" w:hAnsi="宋体" w:eastAsia="宋体" w:cs="宋体"/>
          <w:sz w:val="24"/>
          <w:lang w:val="en-US"/>
        </w:rPr>
      </w:pPr>
      <w:r>
        <w:rPr>
          <w:rFonts w:hint="eastAsia" w:ascii="宋体" w:hAnsi="宋体" w:eastAsia="宋体" w:cs="宋体"/>
          <w:sz w:val="24"/>
          <w:lang w:val="en-US" w:eastAsia="zh-CN"/>
        </w:rPr>
        <w:t>4</w:t>
      </w:r>
      <w:r>
        <w:rPr>
          <w:rFonts w:hint="eastAsia" w:ascii="宋体" w:hAnsi="宋体" w:eastAsia="宋体" w:cs="宋体"/>
          <w:sz w:val="24"/>
          <w:lang w:val="en-US"/>
        </w:rPr>
        <w:t>.4任何一方违反本技术要求中“保密、廉洁条款”要求的，应承担相应的违约责任并赔偿由此造成的损失，损失累计金额超过合同款项的5%的，损失方同时有权终止合同并收回已付款项。</w:t>
      </w:r>
    </w:p>
    <w:p w14:paraId="75CFC39E">
      <w:pPr>
        <w:pStyle w:val="2"/>
        <w:spacing w:after="0" w:line="312" w:lineRule="auto"/>
        <w:ind w:firstLine="420"/>
        <w:rPr>
          <w:rFonts w:hint="eastAsia" w:ascii="宋体" w:hAnsi="宋体" w:eastAsia="宋体" w:cs="宋体"/>
          <w:sz w:val="24"/>
          <w:lang w:val="en-US"/>
        </w:rPr>
      </w:pPr>
      <w:r>
        <w:rPr>
          <w:rFonts w:hint="eastAsia" w:ascii="宋体" w:hAnsi="宋体" w:eastAsia="宋体" w:cs="宋体"/>
          <w:sz w:val="24"/>
          <w:lang w:val="en-US" w:eastAsia="zh-CN"/>
        </w:rPr>
        <w:t>4</w:t>
      </w:r>
      <w:r>
        <w:rPr>
          <w:rFonts w:hint="eastAsia" w:ascii="宋体" w:hAnsi="宋体" w:eastAsia="宋体" w:cs="宋体"/>
          <w:sz w:val="24"/>
          <w:lang w:val="en-US"/>
        </w:rPr>
        <w:t>.5售后服务违约：</w:t>
      </w:r>
    </w:p>
    <w:p w14:paraId="40A13A95">
      <w:pPr>
        <w:pStyle w:val="2"/>
        <w:spacing w:after="0" w:line="312" w:lineRule="auto"/>
        <w:ind w:firstLine="420"/>
        <w:rPr>
          <w:rFonts w:hint="eastAsia" w:ascii="宋体" w:hAnsi="宋体" w:eastAsia="宋体" w:cs="宋体"/>
          <w:sz w:val="24"/>
          <w:lang w:val="en-US"/>
        </w:rPr>
      </w:pPr>
      <w:r>
        <w:rPr>
          <w:rFonts w:hint="eastAsia" w:ascii="宋体" w:hAnsi="宋体" w:eastAsia="宋体" w:cs="宋体"/>
          <w:sz w:val="24"/>
          <w:lang w:val="en-US" w:eastAsia="zh-CN"/>
        </w:rPr>
        <w:t>4</w:t>
      </w:r>
      <w:r>
        <w:rPr>
          <w:rFonts w:hint="eastAsia" w:ascii="宋体" w:hAnsi="宋体" w:eastAsia="宋体" w:cs="宋体"/>
          <w:sz w:val="24"/>
          <w:lang w:val="en-US"/>
        </w:rPr>
        <w:t>.5.1每缺少1次现场巡检记录，投标方应向甲方支付违约金5000元；</w:t>
      </w:r>
    </w:p>
    <w:p w14:paraId="16A23777">
      <w:pPr>
        <w:pStyle w:val="2"/>
        <w:spacing w:after="0" w:line="312" w:lineRule="auto"/>
        <w:ind w:firstLine="420"/>
        <w:rPr>
          <w:rFonts w:hint="eastAsia" w:ascii="宋体" w:hAnsi="宋体" w:eastAsia="宋体" w:cs="宋体"/>
          <w:sz w:val="24"/>
          <w:lang w:val="en-US"/>
        </w:rPr>
      </w:pPr>
      <w:r>
        <w:rPr>
          <w:rFonts w:hint="eastAsia" w:ascii="宋体" w:hAnsi="宋体" w:eastAsia="宋体" w:cs="宋体"/>
          <w:sz w:val="24"/>
          <w:lang w:val="en-US" w:eastAsia="zh-CN"/>
        </w:rPr>
        <w:t>4</w:t>
      </w:r>
      <w:r>
        <w:rPr>
          <w:rFonts w:hint="eastAsia" w:ascii="宋体" w:hAnsi="宋体" w:eastAsia="宋体" w:cs="宋体"/>
          <w:sz w:val="24"/>
          <w:lang w:val="en-US"/>
        </w:rPr>
        <w:t>.5.2不能按本技术参数文档第4.2要求中按时提供设备备件的，故障上报24小时不能免费提供同档次或更高档次的备用设备解决问题，每超期一天，按500元/天向甲方支付违约金；</w:t>
      </w:r>
    </w:p>
    <w:p w14:paraId="52BD3C38">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eastAsia="宋体" w:cs="宋体"/>
          <w:sz w:val="24"/>
          <w:lang w:val="en-US"/>
        </w:rPr>
      </w:pPr>
      <w:r>
        <w:rPr>
          <w:rFonts w:hint="eastAsia" w:ascii="宋体" w:hAnsi="宋体" w:eastAsia="宋体" w:cs="宋体"/>
          <w:sz w:val="24"/>
          <w:lang w:val="en-US" w:eastAsia="zh-CN"/>
        </w:rPr>
        <w:t>4</w:t>
      </w:r>
      <w:r>
        <w:rPr>
          <w:rFonts w:hint="eastAsia" w:ascii="宋体" w:hAnsi="宋体" w:eastAsia="宋体" w:cs="宋体"/>
          <w:sz w:val="24"/>
          <w:lang w:val="en-US"/>
        </w:rPr>
        <w:t>.6厂商方未按本技术要求和响应文件中规定的其他服务承诺提供售后服务的，按损失情况，每次应按合同合计金额的0.1‰-0.1%由乙方向甲方支付违约金，损失累计金额超过合同款项的5%的，损失方同时有权终止合同并收回已付款项。</w:t>
      </w:r>
    </w:p>
    <w:p w14:paraId="78773386">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eastAsia="宋体" w:cs="宋体"/>
          <w:sz w:val="24"/>
          <w:lang w:val="en-US"/>
        </w:rPr>
      </w:pPr>
      <w:r>
        <w:rPr>
          <w:rFonts w:hint="eastAsia" w:ascii="宋体" w:hAnsi="宋体" w:cs="宋体"/>
          <w:sz w:val="24"/>
          <w:szCs w:val="24"/>
          <w:lang w:val="en-US" w:eastAsia="zh-CN"/>
        </w:rPr>
        <w:t>4.7厂商不得在提供的硬件及软件系统中设置包括且不限于如：软硬件加密狗、加密软件、时间锁、授权码等限制硬件及软件系统正常运行的措施，如有特殊需要必须提交纸质文件说明，经过我院签字同意才可设置，否则视为乙方违约，乙方需要支付医院违约金500000元（伍拾万元），在此基础上医院有权要求乙方退回甲方已支付的所有款项。如对医院造成损失的，甲方有权要求乙方赔偿。</w:t>
      </w:r>
    </w:p>
    <w:bookmarkEnd w:id="0"/>
    <w:p w14:paraId="2679A894">
      <w:pPr>
        <w:pStyle w:val="2"/>
        <w:spacing w:after="0" w:line="312" w:lineRule="auto"/>
        <w:rPr>
          <w:rFonts w:hint="eastAsia" w:ascii="宋体" w:hAnsi="宋体" w:eastAsia="宋体" w:cs="宋体"/>
          <w:b/>
          <w:bCs/>
          <w:sz w:val="28"/>
          <w:lang w:val="en-US"/>
        </w:rPr>
      </w:pPr>
      <w:bookmarkStart w:id="1" w:name="_Toc507405799"/>
      <w:bookmarkStart w:id="2" w:name="_Toc507405800"/>
      <w:r>
        <w:rPr>
          <w:rFonts w:hint="eastAsia" w:ascii="宋体" w:hAnsi="宋体" w:eastAsia="宋体" w:cs="宋体"/>
          <w:b/>
          <w:bCs/>
          <w:sz w:val="28"/>
          <w:lang w:val="en-US" w:eastAsia="zh-CN"/>
        </w:rPr>
        <w:t>五</w:t>
      </w:r>
      <w:r>
        <w:rPr>
          <w:rFonts w:hint="eastAsia" w:ascii="宋体" w:hAnsi="宋体" w:eastAsia="宋体" w:cs="宋体"/>
          <w:b/>
          <w:bCs/>
          <w:sz w:val="28"/>
          <w:lang w:val="en-US"/>
        </w:rPr>
        <w:t>、保密、廉洁协议</w:t>
      </w:r>
    </w:p>
    <w:p w14:paraId="17537EFE">
      <w:pPr>
        <w:spacing w:line="312"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37513188">
      <w:pPr>
        <w:spacing w:line="312"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 双方不得以任何方式向第三方泄露本项目的软件技术、设计方案以及功能配置等内容。</w:t>
      </w:r>
    </w:p>
    <w:p w14:paraId="179EC979">
      <w:pPr>
        <w:spacing w:line="312"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.3不以任何方式向第三方泄露在本协议开发实施过程中获取的经济、技术、数据以及双方其他非公开的信息。</w:t>
      </w:r>
    </w:p>
    <w:p w14:paraId="2834DBFD">
      <w:pPr>
        <w:spacing w:line="312"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4E1C3956">
      <w:pPr>
        <w:spacing w:line="312"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.5保密期限自本合同生效之日起永久有效，如乙方需解除保密协议需向甲方提出书面申请，双方协商同意签字确认后方可解除。</w:t>
      </w:r>
    </w:p>
    <w:p w14:paraId="2E9CE074">
      <w:pPr>
        <w:pStyle w:val="2"/>
        <w:spacing w:after="0" w:line="312" w:lineRule="auto"/>
        <w:rPr>
          <w:rFonts w:hint="eastAsia" w:ascii="宋体" w:hAnsi="宋体" w:eastAsia="宋体" w:cs="宋体"/>
          <w:b/>
          <w:bCs/>
          <w:sz w:val="28"/>
          <w:lang w:val="en-US"/>
        </w:rPr>
      </w:pPr>
      <w:r>
        <w:rPr>
          <w:rFonts w:hint="eastAsia" w:ascii="宋体" w:hAnsi="宋体" w:eastAsia="宋体" w:cs="宋体"/>
          <w:b/>
          <w:bCs/>
          <w:sz w:val="28"/>
          <w:lang w:val="en-US" w:eastAsia="zh-CN"/>
        </w:rPr>
        <w:t>六</w:t>
      </w:r>
      <w:r>
        <w:rPr>
          <w:rFonts w:hint="eastAsia" w:ascii="宋体" w:hAnsi="宋体" w:eastAsia="宋体" w:cs="宋体"/>
          <w:b/>
          <w:bCs/>
          <w:sz w:val="28"/>
          <w:lang w:val="en-US"/>
        </w:rPr>
        <w:t>、报价</w:t>
      </w:r>
    </w:p>
    <w:p w14:paraId="0C022C35">
      <w:pPr>
        <w:pStyle w:val="2"/>
        <w:spacing w:after="0" w:line="312" w:lineRule="auto"/>
        <w:ind w:firstLine="420"/>
        <w:rPr>
          <w:rFonts w:hint="eastAsia" w:ascii="宋体" w:hAnsi="宋体" w:eastAsia="宋体" w:cs="宋体"/>
          <w:kern w:val="2"/>
          <w:sz w:val="24"/>
          <w:lang w:val="en-US"/>
        </w:rPr>
      </w:pPr>
      <w:r>
        <w:rPr>
          <w:rFonts w:hint="eastAsia" w:ascii="宋体" w:hAnsi="宋体" w:eastAsia="宋体" w:cs="宋体"/>
          <w:kern w:val="2"/>
          <w:sz w:val="24"/>
          <w:lang w:val="en-US" w:eastAsia="zh-CN"/>
        </w:rPr>
        <w:t>6</w:t>
      </w:r>
      <w:r>
        <w:rPr>
          <w:rFonts w:hint="eastAsia" w:ascii="宋体" w:hAnsi="宋体" w:eastAsia="宋体" w:cs="宋体"/>
          <w:kern w:val="2"/>
          <w:sz w:val="24"/>
          <w:lang w:val="en-US"/>
        </w:rPr>
        <w:t>.1竞标文件按系统模块报价，报价表价格包含系统软硬件费用、产品安装、调试实施、培训费用、产品升级、接口费（包括第三方厂家的接口费）等费用，以及明示所有责任、义务和一切风险。</w:t>
      </w:r>
    </w:p>
    <w:p w14:paraId="203DEC6C">
      <w:pPr>
        <w:pStyle w:val="2"/>
        <w:spacing w:after="0" w:line="312" w:lineRule="auto"/>
        <w:ind w:firstLine="420"/>
        <w:rPr>
          <w:rFonts w:hint="eastAsia" w:ascii="宋体" w:hAnsi="宋体" w:eastAsia="宋体" w:cs="宋体"/>
          <w:kern w:val="2"/>
          <w:sz w:val="24"/>
          <w:lang w:val="en-US"/>
        </w:rPr>
      </w:pPr>
      <w:r>
        <w:rPr>
          <w:rFonts w:hint="eastAsia" w:ascii="宋体" w:hAnsi="宋体" w:eastAsia="宋体" w:cs="宋体"/>
          <w:kern w:val="2"/>
          <w:sz w:val="24"/>
          <w:lang w:val="en-US" w:eastAsia="zh-CN"/>
        </w:rPr>
        <w:t>6</w:t>
      </w:r>
      <w:r>
        <w:rPr>
          <w:rFonts w:hint="eastAsia" w:ascii="宋体" w:hAnsi="宋体" w:eastAsia="宋体" w:cs="宋体"/>
          <w:kern w:val="2"/>
          <w:sz w:val="24"/>
          <w:lang w:val="en-US"/>
        </w:rPr>
        <w:t>.2竞标文件需提供质保期后维保期方案及费用。</w:t>
      </w:r>
    </w:p>
    <w:p w14:paraId="0AE09A0F">
      <w:pPr>
        <w:pStyle w:val="2"/>
        <w:spacing w:after="0" w:line="312" w:lineRule="auto"/>
        <w:ind w:firstLine="420"/>
        <w:rPr>
          <w:rFonts w:hint="eastAsia" w:ascii="宋体" w:hAnsi="宋体" w:eastAsia="宋体" w:cs="宋体"/>
          <w:kern w:val="2"/>
          <w:sz w:val="24"/>
          <w:lang w:val="en-US"/>
        </w:rPr>
      </w:pPr>
      <w:r>
        <w:rPr>
          <w:rFonts w:hint="eastAsia" w:ascii="宋体" w:hAnsi="宋体" w:eastAsia="宋体" w:cs="宋体"/>
          <w:kern w:val="2"/>
          <w:sz w:val="24"/>
          <w:lang w:val="en-US" w:eastAsia="zh-CN"/>
        </w:rPr>
        <w:t>6</w:t>
      </w:r>
      <w:r>
        <w:rPr>
          <w:rFonts w:hint="eastAsia" w:ascii="宋体" w:hAnsi="宋体" w:eastAsia="宋体" w:cs="宋体"/>
          <w:kern w:val="2"/>
          <w:sz w:val="24"/>
          <w:lang w:val="en-US"/>
        </w:rPr>
        <w:t>.3竞标文件需提供系统详细图文介绍。系统实施验收参照本技术文档及竞标文件提供的图文介绍为依据。</w:t>
      </w:r>
    </w:p>
    <w:p w14:paraId="73EEEDE7">
      <w:pPr>
        <w:pStyle w:val="2"/>
        <w:spacing w:after="0" w:line="312" w:lineRule="auto"/>
        <w:rPr>
          <w:rFonts w:hint="eastAsia" w:ascii="宋体" w:hAnsi="宋体" w:eastAsia="宋体" w:cs="宋体"/>
          <w:b/>
          <w:bCs/>
          <w:sz w:val="28"/>
          <w:lang w:val="en-US"/>
        </w:rPr>
      </w:pPr>
      <w:r>
        <w:rPr>
          <w:rFonts w:hint="eastAsia" w:ascii="宋体" w:hAnsi="宋体" w:eastAsia="宋体" w:cs="宋体"/>
          <w:b/>
          <w:bCs/>
          <w:sz w:val="28"/>
          <w:lang w:val="en-US" w:eastAsia="zh-CN"/>
        </w:rPr>
        <w:t>七</w:t>
      </w:r>
      <w:r>
        <w:rPr>
          <w:rFonts w:hint="eastAsia" w:ascii="宋体" w:hAnsi="宋体" w:eastAsia="宋体" w:cs="宋体"/>
          <w:b/>
          <w:bCs/>
          <w:sz w:val="28"/>
          <w:lang w:val="en-US"/>
        </w:rPr>
        <w:t>、付款方式</w:t>
      </w:r>
      <w:bookmarkEnd w:id="1"/>
    </w:p>
    <w:p w14:paraId="68483325">
      <w:pPr>
        <w:pStyle w:val="9"/>
        <w:spacing w:line="360" w:lineRule="auto"/>
        <w:ind w:firstLine="614" w:firstLineChars="256"/>
        <w:rPr>
          <w:rFonts w:hint="eastAsia" w:ascii="宋体" w:hAnsi="宋体" w:eastAsia="宋体" w:cs="宋体"/>
          <w:sz w:val="24"/>
          <w:szCs w:val="24"/>
        </w:rPr>
      </w:pPr>
      <w:r>
        <w:rPr>
          <w:rFonts w:hint="eastAsia" w:ascii="宋体" w:hAnsi="宋体" w:eastAsia="宋体" w:cs="宋体"/>
          <w:sz w:val="24"/>
          <w:szCs w:val="24"/>
        </w:rPr>
        <w:t>项目双方签订合同1个月后，用户按年支付维保费用，</w:t>
      </w:r>
      <w:r>
        <w:rPr>
          <w:rFonts w:hint="eastAsia" w:ascii="宋体" w:hAnsi="宋体" w:eastAsia="宋体" w:cs="宋体"/>
          <w:sz w:val="24"/>
          <w:szCs w:val="24"/>
          <w:lang w:val="en-US" w:eastAsia="zh-CN"/>
        </w:rPr>
        <w:t>三</w:t>
      </w:r>
      <w:r>
        <w:rPr>
          <w:rFonts w:hint="eastAsia" w:ascii="宋体" w:hAnsi="宋体" w:eastAsia="宋体" w:cs="宋体"/>
          <w:sz w:val="24"/>
          <w:szCs w:val="24"/>
        </w:rPr>
        <w:t>年付清全部合同款。</w:t>
      </w:r>
      <w:bookmarkEnd w:id="2"/>
    </w:p>
    <w:p w14:paraId="4FB4C58C">
      <w:pPr>
        <w:jc w:val="both"/>
        <w:rPr>
          <w:rFonts w:hint="eastAsia"/>
          <w:sz w:val="28"/>
          <w:szCs w:val="28"/>
          <w:lang w:val="en-US" w:eastAsia="zh-CN"/>
        </w:rPr>
      </w:pPr>
    </w:p>
    <w:p w14:paraId="2DAA8C46">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p>
    <w:p w14:paraId="39DDC63E">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6AB94C"/>
    <w:multiLevelType w:val="singleLevel"/>
    <w:tmpl w:val="E06AB94C"/>
    <w:lvl w:ilvl="0" w:tentative="0">
      <w:start w:val="1"/>
      <w:numFmt w:val="decimal"/>
      <w:suff w:val="nothing"/>
      <w:lvlText w:val="%1、"/>
      <w:lvlJc w:val="left"/>
    </w:lvl>
  </w:abstractNum>
  <w:abstractNum w:abstractNumId="1">
    <w:nsid w:val="23EC5C6F"/>
    <w:multiLevelType w:val="multilevel"/>
    <w:tmpl w:val="23EC5C6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11767F"/>
    <w:multiLevelType w:val="singleLevel"/>
    <w:tmpl w:val="4911767F"/>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198A"/>
    <w:rsid w:val="00733E26"/>
    <w:rsid w:val="038934F8"/>
    <w:rsid w:val="0E5352CB"/>
    <w:rsid w:val="0EC95C60"/>
    <w:rsid w:val="11937592"/>
    <w:rsid w:val="11A135FD"/>
    <w:rsid w:val="16032C31"/>
    <w:rsid w:val="193860FA"/>
    <w:rsid w:val="199E386A"/>
    <w:rsid w:val="1DD43CFE"/>
    <w:rsid w:val="1EC62538"/>
    <w:rsid w:val="1F865B25"/>
    <w:rsid w:val="204F58BE"/>
    <w:rsid w:val="21592981"/>
    <w:rsid w:val="22CF186F"/>
    <w:rsid w:val="24653902"/>
    <w:rsid w:val="2BD16852"/>
    <w:rsid w:val="319D5A2E"/>
    <w:rsid w:val="31CC14CD"/>
    <w:rsid w:val="331D184C"/>
    <w:rsid w:val="341C4810"/>
    <w:rsid w:val="342F1F13"/>
    <w:rsid w:val="36C82E41"/>
    <w:rsid w:val="407D1B7C"/>
    <w:rsid w:val="42FE6FA4"/>
    <w:rsid w:val="43997F41"/>
    <w:rsid w:val="53FA64F2"/>
    <w:rsid w:val="56604C31"/>
    <w:rsid w:val="5AD563E4"/>
    <w:rsid w:val="5B303175"/>
    <w:rsid w:val="5B44356A"/>
    <w:rsid w:val="5B7A5FA3"/>
    <w:rsid w:val="5B8A5421"/>
    <w:rsid w:val="5B962018"/>
    <w:rsid w:val="5C4750C0"/>
    <w:rsid w:val="62994B32"/>
    <w:rsid w:val="643C74D4"/>
    <w:rsid w:val="6EB47052"/>
    <w:rsid w:val="6F5A271B"/>
    <w:rsid w:val="6F912DCA"/>
    <w:rsid w:val="6FFF3C23"/>
    <w:rsid w:val="70064EC9"/>
    <w:rsid w:val="70E707C8"/>
    <w:rsid w:val="7A230AC3"/>
    <w:rsid w:val="7A8A3F13"/>
    <w:rsid w:val="7D711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kern w:val="0"/>
      <w:sz w:val="20"/>
      <w:szCs w:val="24"/>
      <w:lang w:val="zh-CN"/>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3098</Words>
  <Characters>3215</Characters>
  <Lines>0</Lines>
  <Paragraphs>0</Paragraphs>
  <TotalTime>2</TotalTime>
  <ScaleCrop>false</ScaleCrop>
  <LinksUpToDate>false</LinksUpToDate>
  <CharactersWithSpaces>3219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2024-12-25T00:32:00Z</dcterms:created>
  <dc:creator>Administrator</dc:creator>
  <cp:lastModifiedBy>LZGRYY</cp:lastModifiedBy>
  <dcterms:modified xsi:type="dcterms:W3CDTF">2025-02-08T07:23:20Z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40ED8291E0C047A88A22AE1232463EDB_13</vt:lpwstr>
  </property>
  <property fmtid="{D5CDD505-2E9C-101B-9397-08002B2CF9AE}" pid="4" name="KSOTemplateDocerSaveRecord">
    <vt:lpwstr>eyJoZGlkIjoiYmRlNGQ1ZjU3MjI2Mjc5OGQyNmEwZjVkN2FlOTUyMGQifQ==</vt:lpwstr>
  </property>
</Properties>
</file>