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科研科采购硕博数据库服务项目需求</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ascii="仿宋" w:hAnsi="仿宋" w:eastAsia="仿宋" w:cs="仿宋"/>
          <w:b/>
          <w:color w:val="000000"/>
          <w:sz w:val="28"/>
          <w:szCs w:val="28"/>
        </w:rPr>
      </w:pPr>
      <w:r>
        <w:rPr>
          <w:rFonts w:hint="eastAsia" w:ascii="仿宋" w:hAnsi="仿宋" w:eastAsia="仿宋" w:cs="仿宋"/>
          <w:b/>
          <w:color w:val="000000"/>
          <w:sz w:val="28"/>
          <w:szCs w:val="28"/>
        </w:rPr>
        <w:t>一、项目名称</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科研科采购硕博数据库服务项目</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ascii="仿宋" w:hAnsi="仿宋" w:eastAsia="仿宋" w:cs="仿宋"/>
          <w:b/>
          <w:color w:val="000000"/>
          <w:sz w:val="28"/>
          <w:szCs w:val="28"/>
        </w:rPr>
      </w:pPr>
      <w:r>
        <w:rPr>
          <w:rFonts w:hint="eastAsia" w:ascii="仿宋" w:hAnsi="仿宋" w:eastAsia="仿宋" w:cs="仿宋"/>
          <w:b/>
          <w:color w:val="000000"/>
          <w:sz w:val="28"/>
          <w:szCs w:val="28"/>
        </w:rPr>
        <w:t>二、项目概况</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中英文医学文献</w:t>
      </w:r>
      <w:r>
        <w:rPr>
          <w:rFonts w:hint="eastAsia" w:ascii="仿宋" w:hAnsi="仿宋" w:eastAsia="仿宋" w:cs="仿宋"/>
          <w:bCs/>
          <w:color w:val="000000"/>
          <w:sz w:val="28"/>
          <w:szCs w:val="28"/>
        </w:rPr>
        <w:t>作为科研</w:t>
      </w:r>
      <w:r>
        <w:rPr>
          <w:rFonts w:hint="eastAsia" w:ascii="仿宋" w:hAnsi="仿宋" w:eastAsia="仿宋" w:cs="仿宋"/>
          <w:bCs/>
          <w:color w:val="000000"/>
          <w:sz w:val="28"/>
          <w:szCs w:val="28"/>
          <w:lang w:val="en-US" w:eastAsia="zh-CN"/>
        </w:rPr>
        <w:t>和教学必不可少的科研工具</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是医院科研工作和教学工作必不可少的一部分</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因上一</w:t>
      </w:r>
      <w:r>
        <w:rPr>
          <w:rFonts w:hint="eastAsia" w:ascii="仿宋" w:hAnsi="仿宋" w:eastAsia="仿宋" w:cs="仿宋"/>
          <w:bCs/>
          <w:color w:val="000000"/>
          <w:sz w:val="28"/>
          <w:szCs w:val="28"/>
          <w:lang w:val="en-US" w:eastAsia="zh-CN"/>
        </w:rPr>
        <w:t>周期</w:t>
      </w:r>
      <w:r>
        <w:rPr>
          <w:rFonts w:hint="eastAsia" w:ascii="仿宋" w:hAnsi="仿宋" w:eastAsia="仿宋" w:cs="仿宋"/>
          <w:bCs/>
          <w:color w:val="000000"/>
          <w:sz w:val="28"/>
          <w:szCs w:val="28"/>
        </w:rPr>
        <w:t>到期现</w:t>
      </w:r>
      <w:r>
        <w:rPr>
          <w:rFonts w:ascii="仿宋" w:hAnsi="仿宋" w:eastAsia="仿宋" w:cs="仿宋"/>
          <w:bCs/>
          <w:color w:val="000000"/>
          <w:sz w:val="28"/>
          <w:szCs w:val="28"/>
        </w:rPr>
        <w:t>需要</w:t>
      </w:r>
      <w:r>
        <w:rPr>
          <w:rFonts w:hint="eastAsia" w:ascii="仿宋" w:hAnsi="仿宋" w:eastAsia="仿宋" w:cs="仿宋"/>
          <w:bCs/>
          <w:color w:val="000000"/>
          <w:sz w:val="28"/>
          <w:szCs w:val="28"/>
        </w:rPr>
        <w:t>重新</w:t>
      </w:r>
      <w:r>
        <w:rPr>
          <w:rFonts w:ascii="仿宋" w:hAnsi="仿宋" w:eastAsia="仿宋" w:cs="仿宋"/>
          <w:bCs/>
          <w:color w:val="000000"/>
          <w:sz w:val="28"/>
          <w:szCs w:val="28"/>
        </w:rPr>
        <w:t>招标</w:t>
      </w:r>
      <w:r>
        <w:rPr>
          <w:rFonts w:hint="eastAsia" w:ascii="仿宋" w:hAnsi="仿宋" w:eastAsia="仿宋" w:cs="仿宋"/>
          <w:bCs/>
          <w:color w:val="000000"/>
          <w:sz w:val="28"/>
          <w:szCs w:val="28"/>
          <w:lang w:val="en-US" w:eastAsia="zh-CN"/>
        </w:rPr>
        <w:t>医学数据库</w:t>
      </w:r>
      <w:r>
        <w:rPr>
          <w:rFonts w:ascii="仿宋" w:hAnsi="仿宋" w:eastAsia="仿宋" w:cs="仿宋"/>
          <w:bCs/>
          <w:color w:val="000000"/>
          <w:sz w:val="28"/>
          <w:szCs w:val="28"/>
        </w:rPr>
        <w:t>公司</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提供中英文数据库文献服务</w:t>
      </w:r>
      <w:r>
        <w:rPr>
          <w:rFonts w:hint="eastAsia" w:ascii="仿宋" w:hAnsi="仿宋" w:eastAsia="仿宋" w:cs="仿宋"/>
          <w:bCs/>
          <w:color w:val="000000"/>
          <w:sz w:val="28"/>
          <w:szCs w:val="28"/>
        </w:rPr>
        <w:t>。</w:t>
      </w:r>
    </w:p>
    <w:p>
      <w:pPr>
        <w:keepNext w:val="0"/>
        <w:keepLines w:val="0"/>
        <w:pageBreakBefore w:val="0"/>
        <w:widowControl w:val="0"/>
        <w:kinsoku/>
        <w:wordWrap/>
        <w:overflowPunct/>
        <w:topLinePunct w:val="0"/>
        <w:autoSpaceDE/>
        <w:autoSpaceDN/>
        <w:bidi w:val="0"/>
        <w:snapToGrid/>
        <w:spacing w:line="460" w:lineRule="exact"/>
        <w:textAlignment w:val="auto"/>
        <w:rPr>
          <w:rFonts w:ascii="仿宋" w:hAnsi="仿宋" w:eastAsia="仿宋" w:cs="仿宋"/>
          <w:b/>
          <w:bCs/>
          <w:sz w:val="28"/>
          <w:szCs w:val="28"/>
        </w:rPr>
      </w:pPr>
      <w:r>
        <w:rPr>
          <w:rFonts w:hint="eastAsia" w:ascii="仿宋" w:hAnsi="仿宋" w:eastAsia="仿宋" w:cs="仿宋"/>
          <w:b/>
          <w:bCs/>
          <w:sz w:val="28"/>
          <w:szCs w:val="28"/>
        </w:rPr>
        <w:t>三、服务商资质条件</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bookmarkStart w:id="0" w:name="OLE_LINK1"/>
      <w:r>
        <w:rPr>
          <w:rFonts w:hint="eastAsia" w:ascii="仿宋" w:hAnsi="仿宋" w:eastAsia="仿宋" w:cs="仿宋"/>
          <w:color w:val="000000" w:themeColor="text1"/>
          <w:sz w:val="28"/>
          <w:szCs w:val="28"/>
          <w14:textFill>
            <w14:solidFill>
              <w14:schemeClr w14:val="tx1"/>
            </w14:solidFill>
          </w14:textFill>
        </w:rPr>
        <w:t>具有独立承担民事责任的能力；在中华人民共和国境内注册并取得营业执照的独立法人，具有相应经营范围，（提供企业法人营业执照、组织机构代码证、税务登记证或三证合一的复印件）</w:t>
      </w:r>
      <w:r>
        <w:rPr>
          <w:rFonts w:hint="eastAsia" w:ascii="仿宋" w:hAnsi="仿宋" w:eastAsia="仿宋" w:cs="仿宋"/>
          <w:color w:val="000000" w:themeColor="text1"/>
          <w:sz w:val="28"/>
          <w:szCs w:val="28"/>
          <w:lang w:eastAsia="zh-CN"/>
          <w14:textFill>
            <w14:solidFill>
              <w14:schemeClr w14:val="tx1"/>
            </w14:solidFill>
          </w14:textFill>
        </w:rPr>
        <w:t>；</w:t>
      </w:r>
    </w:p>
    <w:bookmarkEnd w:id="0"/>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具有履行合同所必需的设备和专业技术能力；具备完善的硬件设备、技术支持、服务体系和良好的团队。</w:t>
      </w:r>
      <w:r>
        <w:rPr>
          <w:rFonts w:hint="eastAsia" w:ascii="仿宋" w:hAnsi="仿宋" w:eastAsia="仿宋" w:cs="仿宋"/>
          <w:bCs/>
          <w:color w:val="000000" w:themeColor="text1"/>
          <w:sz w:val="28"/>
          <w:szCs w:val="28"/>
          <w14:textFill>
            <w14:solidFill>
              <w14:schemeClr w14:val="tx1"/>
            </w14:solidFill>
          </w14:textFill>
        </w:rPr>
        <w:t>具有履行合同所必需的专业技术及服务能力，能够提供较好的技术和服务响应方案；</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有依法缴纳税收和社会保障资金的良好记录；</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参加政府采购活动前三年内，未因违法经营受到刑事处罚或者责令停产停业、吊销许可证或者执照、较大数额罚款等行政处罚；</w:t>
      </w:r>
    </w:p>
    <w:p>
      <w:pPr>
        <w:pStyle w:val="7"/>
        <w:keepNext w:val="0"/>
        <w:keepLines w:val="0"/>
        <w:pageBreakBefore w:val="0"/>
        <w:widowControl w:val="0"/>
        <w:numPr>
          <w:ilvl w:val="0"/>
          <w:numId w:val="2"/>
        </w:numPr>
        <w:kinsoku/>
        <w:wordWrap/>
        <w:overflowPunct/>
        <w:topLinePunct w:val="0"/>
        <w:autoSpaceDE/>
        <w:autoSpaceDN/>
        <w:bidi w:val="0"/>
        <w:snapToGrid/>
        <w:spacing w:line="460" w:lineRule="exact"/>
        <w:ind w:firstLineChars="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服务要求</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医学学位论文：收录中文医学学位论文数据量不少于1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0万条，全文数据量不少于</w:t>
      </w:r>
      <w:r>
        <w:rPr>
          <w:rFonts w:hint="eastAsia" w:ascii="仿宋" w:hAnsi="仿宋" w:eastAsia="仿宋" w:cs="仿宋"/>
          <w:color w:val="000000" w:themeColor="text1"/>
          <w:sz w:val="28"/>
          <w:szCs w:val="28"/>
          <w:lang w:val="en-US" w:eastAsia="zh-CN"/>
          <w14:textFill>
            <w14:solidFill>
              <w14:schemeClr w14:val="tx1"/>
            </w14:solidFill>
          </w14:textFill>
        </w:rPr>
        <w:t>90</w:t>
      </w:r>
      <w:r>
        <w:rPr>
          <w:rFonts w:hint="eastAsia" w:ascii="仿宋" w:hAnsi="仿宋" w:eastAsia="仿宋" w:cs="仿宋"/>
          <w:color w:val="000000" w:themeColor="text1"/>
          <w:sz w:val="28"/>
          <w:szCs w:val="28"/>
          <w14:textFill>
            <w14:solidFill>
              <w14:schemeClr w14:val="tx1"/>
            </w14:solidFill>
          </w14:textFill>
        </w:rPr>
        <w:t>万篇，其中博士论文全文量不少于1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万篇；学科覆盖基础医学、临床医学、 口腔医学、公共卫生与预防医学、中医学、中西医结合、药学、中药学等学科。</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检索结果可在同一界面实现刊名、作者、作者单位、收录源分类排序。</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其他服务要求</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（1）需提供PDF全文翻译功能，辅助读者阅读英文全文。</w:t>
      </w:r>
    </w:p>
    <w:p>
      <w:pPr>
        <w:keepNext w:val="0"/>
        <w:keepLines w:val="0"/>
        <w:pageBreakBefore w:val="0"/>
        <w:widowControl w:val="0"/>
        <w:numPr>
          <w:ilvl w:val="0"/>
          <w:numId w:val="0"/>
        </w:numPr>
        <w:kinsoku/>
        <w:wordWrap/>
        <w:overflowPunct/>
        <w:topLinePunct w:val="0"/>
        <w:autoSpaceDE/>
        <w:autoSpaceDN/>
        <w:bidi w:val="0"/>
        <w:snapToGrid/>
        <w:spacing w:line="4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（2）售后用户培训方面：需供应商产品经理配合医院相关部门一起对读者进行检索平台使用方面的培训。</w:t>
      </w:r>
    </w:p>
    <w:p>
      <w:pPr>
        <w:keepNext w:val="0"/>
        <w:keepLines w:val="0"/>
        <w:pageBreakBefore w:val="0"/>
        <w:widowControl w:val="0"/>
        <w:numPr>
          <w:ilvl w:val="0"/>
          <w:numId w:val="0"/>
        </w:numPr>
        <w:kinsoku/>
        <w:wordWrap/>
        <w:overflowPunct/>
        <w:topLinePunct w:val="0"/>
        <w:autoSpaceDE/>
        <w:autoSpaceDN/>
        <w:bidi w:val="0"/>
        <w:snapToGrid/>
        <w:spacing w:line="4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（3）检索平台安装、更新、升级方面：供应商技术人员协助进行检索平台安装、技术维护、操作培训，技术人员每月上门更新维护数据；互联网数据至少可以保证更新的数据是到当前时间的前一周数据。</w:t>
      </w:r>
    </w:p>
    <w:p>
      <w:pPr>
        <w:keepNext w:val="0"/>
        <w:keepLines w:val="0"/>
        <w:pageBreakBefore w:val="0"/>
        <w:widowControl w:val="0"/>
        <w:numPr>
          <w:ilvl w:val="0"/>
          <w:numId w:val="0"/>
        </w:numPr>
        <w:kinsoku/>
        <w:wordWrap/>
        <w:overflowPunct/>
        <w:topLinePunct w:val="0"/>
        <w:autoSpaceDE/>
        <w:autoSpaceDN/>
        <w:bidi w:val="0"/>
        <w:snapToGrid/>
        <w:spacing w:line="4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（4）在广西有售后服务机构或办事处，可以全天24小时联系到相关工作人员，为订购后的产品维护和服务提供保障。</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不限制并发用户数量，不限制IP地址、不限量。</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中标人对本次招标内容所列产品提供2年运维质保期服务，运维服务从双方签署最终验收报告之日算起。</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中标人必须保证系统运行的日常监控，及时发现和排除故障，保证一线技术支持人员7×24小时的售后服务，</w:t>
      </w:r>
      <w:bookmarkStart w:id="1" w:name="_GoBack"/>
      <w:bookmarkEnd w:id="1"/>
      <w:r>
        <w:rPr>
          <w:rFonts w:hint="eastAsia" w:ascii="仿宋" w:hAnsi="仿宋" w:eastAsia="仿宋" w:cs="仿宋"/>
          <w:color w:val="000000" w:themeColor="text1"/>
          <w:sz w:val="28"/>
          <w:szCs w:val="28"/>
          <w:lang w:val="en-US" w:eastAsia="zh-CN"/>
          <w14:textFill>
            <w14:solidFill>
              <w14:schemeClr w14:val="tx1"/>
            </w14:solidFill>
          </w14:textFill>
        </w:rPr>
        <w:t>半小时内响应，48小时内到达现场，24小时内解决故障。</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在质保期内，中标人必须及时响应用户故障，当故障发生后24小时内解决故障，需现场解决的48小时内赶到用户现场并及时调查故障原因并修复，直至满足最终验收指标和性能的要求。</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定期维护及优化系统，通过定期的技术检查，可及时排除故障隐患，以免问题发生后影响业务运作，还能及时调优系统性能，使系统始终处于高效率运行状态。</w:t>
      </w:r>
    </w:p>
    <w:p>
      <w:pPr>
        <w:keepNext w:val="0"/>
        <w:keepLines w:val="0"/>
        <w:pageBreakBefore w:val="0"/>
        <w:widowControl w:val="0"/>
        <w:numPr>
          <w:ilvl w:val="0"/>
          <w:numId w:val="4"/>
        </w:numPr>
        <w:kinsoku/>
        <w:wordWrap/>
        <w:overflowPunct/>
        <w:topLinePunct w:val="0"/>
        <w:autoSpaceDE/>
        <w:autoSpaceDN/>
        <w:bidi w:val="0"/>
        <w:snapToGrid/>
        <w:spacing w:line="460" w:lineRule="exact"/>
        <w:textAlignment w:val="auto"/>
        <w:rPr>
          <w:rFonts w:ascii="仿宋" w:hAnsi="仿宋" w:eastAsia="仿宋" w:cs="仿宋"/>
          <w:b/>
          <w:bCs/>
          <w:sz w:val="28"/>
          <w:szCs w:val="28"/>
        </w:rPr>
      </w:pPr>
      <w:r>
        <w:rPr>
          <w:rFonts w:hint="eastAsia" w:ascii="仿宋" w:hAnsi="仿宋" w:eastAsia="仿宋" w:cs="仿宋"/>
          <w:b/>
          <w:bCs/>
          <w:sz w:val="28"/>
          <w:szCs w:val="28"/>
        </w:rPr>
        <w:t>合同期及结算方式</w:t>
      </w:r>
    </w:p>
    <w:p>
      <w:pPr>
        <w:keepNext w:val="0"/>
        <w:keepLines w:val="0"/>
        <w:pageBreakBefore w:val="0"/>
        <w:widowControl w:val="0"/>
        <w:numPr>
          <w:ilvl w:val="0"/>
          <w:numId w:val="5"/>
        </w:numPr>
        <w:kinsoku/>
        <w:wordWrap/>
        <w:overflowPunct/>
        <w:topLinePunct w:val="0"/>
        <w:autoSpaceDE/>
        <w:autoSpaceDN/>
        <w:bidi w:val="0"/>
        <w:snapToGrid/>
        <w:spacing w:line="4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合同期限为：</w:t>
      </w:r>
      <w:r>
        <w:rPr>
          <w:rFonts w:hint="eastAsia" w:ascii="仿宋" w:hAnsi="仿宋" w:eastAsia="仿宋" w:cs="仿宋"/>
          <w:color w:val="000000"/>
          <w:sz w:val="28"/>
          <w:szCs w:val="28"/>
          <w:highlight w:val="yellow"/>
        </w:rPr>
        <w:t>服务期</w:t>
      </w:r>
      <w:r>
        <w:rPr>
          <w:rFonts w:hint="eastAsia" w:ascii="仿宋" w:hAnsi="仿宋" w:eastAsia="仿宋" w:cs="仿宋"/>
          <w:color w:val="000000"/>
          <w:sz w:val="28"/>
          <w:szCs w:val="28"/>
          <w:highlight w:val="yellow"/>
          <w:lang w:val="en-US" w:eastAsia="zh-CN"/>
        </w:rPr>
        <w:t>2</w:t>
      </w:r>
      <w:r>
        <w:rPr>
          <w:rFonts w:hint="eastAsia" w:ascii="仿宋" w:hAnsi="仿宋" w:eastAsia="仿宋" w:cs="仿宋"/>
          <w:color w:val="000000"/>
          <w:sz w:val="28"/>
          <w:szCs w:val="28"/>
          <w:highlight w:val="yellow"/>
        </w:rPr>
        <w:t>年</w:t>
      </w:r>
      <w:r>
        <w:rPr>
          <w:rFonts w:hint="eastAsia" w:ascii="仿宋" w:hAnsi="仿宋" w:eastAsia="仿宋" w:cs="仿宋"/>
          <w:color w:val="000000"/>
          <w:sz w:val="28"/>
          <w:szCs w:val="28"/>
          <w:highlight w:val="yellow"/>
          <w:lang w:eastAsia="zh-CN"/>
        </w:rPr>
        <w:t>。</w:t>
      </w:r>
    </w:p>
    <w:p>
      <w:pPr>
        <w:keepNext w:val="0"/>
        <w:keepLines w:val="0"/>
        <w:pageBreakBefore w:val="0"/>
        <w:widowControl w:val="0"/>
        <w:numPr>
          <w:ilvl w:val="0"/>
          <w:numId w:val="5"/>
        </w:numPr>
        <w:kinsoku/>
        <w:wordWrap/>
        <w:overflowPunct/>
        <w:topLinePunct w:val="0"/>
        <w:autoSpaceDE/>
        <w:autoSpaceDN/>
        <w:bidi w:val="0"/>
        <w:snapToGrid/>
        <w:spacing w:line="460" w:lineRule="exact"/>
        <w:ind w:firstLine="560" w:firstLineChars="200"/>
        <w:textAlignment w:val="auto"/>
        <w:rPr>
          <w:rFonts w:ascii="仿宋" w:hAnsi="仿宋" w:eastAsia="仿宋" w:cs="仿宋"/>
          <w:b/>
          <w:bCs/>
          <w:color w:val="auto"/>
          <w:sz w:val="28"/>
          <w:szCs w:val="28"/>
        </w:rPr>
      </w:pPr>
      <w:r>
        <w:rPr>
          <w:rFonts w:hint="eastAsia" w:ascii="仿宋" w:hAnsi="仿宋" w:eastAsia="仿宋" w:cs="仿宋"/>
          <w:color w:val="auto"/>
          <w:sz w:val="28"/>
          <w:szCs w:val="28"/>
        </w:rPr>
        <w:t>结算方式：按合同约定</w:t>
      </w:r>
      <w:r>
        <w:rPr>
          <w:rFonts w:hint="eastAsia" w:ascii="仿宋" w:hAnsi="仿宋" w:eastAsia="仿宋" w:cs="仿宋"/>
          <w:color w:val="auto"/>
          <w:sz w:val="28"/>
          <w:szCs w:val="28"/>
          <w:lang w:val="en-US" w:eastAsia="zh-CN"/>
        </w:rPr>
        <w:t>每年预付款一次</w:t>
      </w:r>
      <w:r>
        <w:rPr>
          <w:rFonts w:hint="eastAsia" w:ascii="仿宋" w:hAnsi="仿宋" w:eastAsia="仿宋" w:cs="仿宋"/>
          <w:color w:val="auto"/>
          <w:sz w:val="28"/>
          <w:szCs w:val="28"/>
        </w:rPr>
        <w:t>，由甲方根据</w:t>
      </w:r>
      <w:r>
        <w:rPr>
          <w:rFonts w:hint="eastAsia" w:ascii="仿宋" w:hAnsi="仿宋" w:eastAsia="仿宋" w:cs="仿宋"/>
          <w:color w:val="auto"/>
          <w:sz w:val="28"/>
          <w:szCs w:val="28"/>
          <w:lang w:val="en-US" w:eastAsia="zh-CN"/>
        </w:rPr>
        <w:t>合同内容</w:t>
      </w:r>
      <w:r>
        <w:rPr>
          <w:rFonts w:hint="eastAsia" w:ascii="仿宋" w:hAnsi="仿宋" w:eastAsia="仿宋" w:cs="仿宋"/>
          <w:color w:val="auto"/>
          <w:sz w:val="28"/>
          <w:szCs w:val="28"/>
        </w:rPr>
        <w:t>支付服务商。</w:t>
      </w:r>
    </w:p>
    <w:p>
      <w:pPr>
        <w:keepNext w:val="0"/>
        <w:keepLines w:val="0"/>
        <w:pageBreakBefore w:val="0"/>
        <w:widowControl w:val="0"/>
        <w:numPr>
          <w:ilvl w:val="0"/>
          <w:numId w:val="4"/>
        </w:numPr>
        <w:kinsoku/>
        <w:wordWrap/>
        <w:overflowPunct/>
        <w:topLinePunct w:val="0"/>
        <w:autoSpaceDE/>
        <w:autoSpaceDN/>
        <w:bidi w:val="0"/>
        <w:snapToGrid/>
        <w:spacing w:line="460" w:lineRule="exact"/>
        <w:textAlignment w:val="auto"/>
        <w:rPr>
          <w:rFonts w:ascii="仿宋" w:hAnsi="仿宋" w:eastAsia="仿宋" w:cs="仿宋"/>
          <w:b/>
          <w:bCs/>
          <w:sz w:val="28"/>
          <w:szCs w:val="28"/>
        </w:rPr>
      </w:pPr>
      <w:r>
        <w:rPr>
          <w:rFonts w:hint="eastAsia" w:ascii="仿宋" w:hAnsi="仿宋" w:eastAsia="仿宋" w:cs="仿宋"/>
          <w:b/>
          <w:bCs/>
          <w:sz w:val="28"/>
          <w:szCs w:val="28"/>
        </w:rPr>
        <w:t>服务报价方式</w:t>
      </w:r>
    </w:p>
    <w:tbl>
      <w:tblPr>
        <w:tblStyle w:val="5"/>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35"/>
        <w:gridCol w:w="1858"/>
        <w:gridCol w:w="238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序号</w:t>
            </w:r>
          </w:p>
        </w:tc>
        <w:tc>
          <w:tcPr>
            <w:tcW w:w="4035" w:type="dxa"/>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服务内容</w:t>
            </w:r>
          </w:p>
        </w:tc>
        <w:tc>
          <w:tcPr>
            <w:tcW w:w="1858" w:type="dxa"/>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单价（元</w:t>
            </w:r>
            <w:r>
              <w:rPr>
                <w:rFonts w:hint="eastAsia" w:ascii="仿宋" w:hAnsi="仿宋" w:eastAsia="仿宋" w:cs="仿宋"/>
                <w:b/>
                <w:bCs/>
                <w:sz w:val="28"/>
                <w:szCs w:val="28"/>
                <w:lang w:val="en-US" w:eastAsia="zh-CN"/>
              </w:rPr>
              <w:t>/年</w:t>
            </w:r>
            <w:r>
              <w:rPr>
                <w:rFonts w:hint="eastAsia" w:ascii="仿宋" w:hAnsi="仿宋" w:eastAsia="仿宋" w:cs="仿宋"/>
                <w:b/>
                <w:bCs/>
                <w:sz w:val="28"/>
                <w:szCs w:val="28"/>
              </w:rPr>
              <w:t>）</w:t>
            </w:r>
          </w:p>
        </w:tc>
        <w:tc>
          <w:tcPr>
            <w:tcW w:w="2388" w:type="dxa"/>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2年合计</w:t>
            </w:r>
            <w:r>
              <w:rPr>
                <w:rFonts w:hint="eastAsia" w:ascii="仿宋" w:hAnsi="仿宋" w:eastAsia="仿宋" w:cs="仿宋"/>
                <w:b/>
                <w:bCs/>
                <w:sz w:val="28"/>
                <w:szCs w:val="28"/>
              </w:rPr>
              <w:t>（元）</w:t>
            </w:r>
          </w:p>
        </w:tc>
        <w:tc>
          <w:tcPr>
            <w:tcW w:w="924" w:type="dxa"/>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w:t>
            </w:r>
          </w:p>
        </w:tc>
        <w:tc>
          <w:tcPr>
            <w:tcW w:w="4035" w:type="dxa"/>
            <w:vAlign w:val="top"/>
          </w:tcPr>
          <w:p>
            <w:pPr>
              <w:keepNext w:val="0"/>
              <w:keepLines w:val="0"/>
              <w:pageBreakBefore w:val="0"/>
              <w:widowControl w:val="0"/>
              <w:kinsoku/>
              <w:wordWrap/>
              <w:overflowPunct/>
              <w:topLinePunct w:val="0"/>
              <w:autoSpaceDE/>
              <w:autoSpaceDN/>
              <w:bidi w:val="0"/>
              <w:snapToGrid/>
              <w:spacing w:line="460" w:lineRule="exact"/>
              <w:textAlignment w:val="auto"/>
              <w:rPr>
                <w:rFonts w:hint="default" w:ascii="仿宋" w:hAnsi="仿宋" w:eastAsia="仿宋" w:cs="仿宋"/>
                <w:b/>
                <w:bCs/>
                <w:sz w:val="28"/>
                <w:szCs w:val="28"/>
                <w:lang w:val="en-US" w:eastAsia="zh-CN"/>
              </w:rPr>
            </w:pPr>
            <w:r>
              <w:rPr>
                <w:rFonts w:hint="eastAsia" w:ascii="仿宋" w:hAnsi="仿宋" w:eastAsia="仿宋" w:cs="仿宋"/>
                <w:bCs/>
                <w:color w:val="auto"/>
                <w:sz w:val="28"/>
                <w:szCs w:val="28"/>
                <w:lang w:val="en-US" w:eastAsia="zh-CN"/>
              </w:rPr>
              <w:t>中国医院知识总库博硕士论文数据库</w:t>
            </w:r>
          </w:p>
        </w:tc>
        <w:tc>
          <w:tcPr>
            <w:tcW w:w="1858" w:type="dxa"/>
            <w:vAlign w:val="top"/>
          </w:tcPr>
          <w:p>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b w:val="0"/>
                <w:bCs/>
                <w:sz w:val="28"/>
                <w:szCs w:val="28"/>
                <w:lang w:val="en-US" w:eastAsia="zh-CN"/>
              </w:rPr>
            </w:pPr>
          </w:p>
        </w:tc>
        <w:tc>
          <w:tcPr>
            <w:tcW w:w="2388" w:type="dxa"/>
            <w:vAlign w:val="top"/>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仿宋" w:hAnsi="仿宋" w:eastAsia="仿宋" w:cs="仿宋"/>
                <w:b w:val="0"/>
                <w:bCs/>
                <w:sz w:val="28"/>
                <w:szCs w:val="28"/>
                <w:lang w:val="en-US" w:eastAsia="zh-CN"/>
              </w:rPr>
            </w:pPr>
          </w:p>
        </w:tc>
        <w:tc>
          <w:tcPr>
            <w:tcW w:w="924" w:type="dxa"/>
          </w:tcPr>
          <w:p>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5" w:type="dxa"/>
            <w:gridSpan w:val="5"/>
          </w:tcPr>
          <w:p>
            <w:pPr>
              <w:keepNext w:val="0"/>
              <w:keepLines w:val="0"/>
              <w:pageBreakBefore w:val="0"/>
              <w:widowControl w:val="0"/>
              <w:kinsoku/>
              <w:wordWrap/>
              <w:overflowPunct/>
              <w:topLinePunct w:val="0"/>
              <w:autoSpaceDE/>
              <w:autoSpaceDN/>
              <w:bidi w:val="0"/>
              <w:snapToGrid/>
              <w:spacing w:line="46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rPr>
              <w:t>合计金额（元）：</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元/年；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highlight w:val="yellow"/>
                <w:lang w:val="en-US" w:eastAsia="zh-CN"/>
              </w:rPr>
              <w:t>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5"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8"/>
                <w:szCs w:val="28"/>
                <w:lang w:val="en-US" w:eastAsia="zh-CN"/>
              </w:rPr>
            </w:pPr>
            <w:r>
              <w:rPr>
                <w:rFonts w:hint="eastAsia" w:ascii="仿宋" w:hAnsi="仿宋" w:eastAsia="仿宋" w:cs="仿宋"/>
                <w:color w:val="auto"/>
                <w:sz w:val="28"/>
                <w:szCs w:val="28"/>
                <w:lang w:val="en-US" w:eastAsia="zh-CN"/>
              </w:rPr>
              <w:t>1.报价包含：人工费、材料费、管理费、保险、维护、利润、税金等为完成本项目所需的所有费用，在实施期间不因市场因素而变动。</w:t>
            </w:r>
          </w:p>
        </w:tc>
      </w:tr>
    </w:tbl>
    <w:p>
      <w:pPr>
        <w:keepNext w:val="0"/>
        <w:keepLines w:val="0"/>
        <w:pageBreakBefore w:val="0"/>
        <w:widowControl w:val="0"/>
        <w:kinsoku/>
        <w:wordWrap/>
        <w:overflowPunct/>
        <w:topLinePunct w:val="0"/>
        <w:autoSpaceDE/>
        <w:autoSpaceDN/>
        <w:bidi w:val="0"/>
        <w:snapToGrid/>
        <w:spacing w:line="460" w:lineRule="exact"/>
        <w:textAlignment w:val="auto"/>
        <w:rPr>
          <w:rFonts w:ascii="仿宋" w:hAnsi="仿宋" w:eastAsia="仿宋" w:cs="仿宋"/>
          <w:b/>
          <w:bCs/>
          <w:sz w:val="28"/>
          <w:szCs w:val="28"/>
        </w:rPr>
      </w:pPr>
      <w:r>
        <w:rPr>
          <w:rFonts w:hint="eastAsia" w:ascii="仿宋" w:hAnsi="仿宋" w:eastAsia="仿宋" w:cs="仿宋"/>
          <w:b/>
          <w:bCs/>
          <w:sz w:val="28"/>
          <w:szCs w:val="28"/>
        </w:rPr>
        <w:t>七、服务商遴选方式</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对服务商的服务质量、及时性及价格进行综合评价，遴选</w:t>
      </w:r>
      <w:r>
        <w:rPr>
          <w:rFonts w:hint="eastAsia" w:ascii="仿宋" w:hAnsi="仿宋" w:eastAsia="仿宋" w:cs="仿宋"/>
          <w:sz w:val="28"/>
          <w:szCs w:val="28"/>
          <w:lang w:val="en-US" w:eastAsia="zh-CN"/>
        </w:rPr>
        <w:t>1</w:t>
      </w:r>
      <w:r>
        <w:rPr>
          <w:rFonts w:hint="eastAsia" w:ascii="仿宋" w:hAnsi="仿宋" w:eastAsia="仿宋" w:cs="仿宋"/>
          <w:sz w:val="28"/>
          <w:szCs w:val="28"/>
        </w:rPr>
        <w:t>家</w:t>
      </w:r>
      <w:r>
        <w:rPr>
          <w:rFonts w:hint="eastAsia" w:ascii="仿宋" w:hAnsi="仿宋" w:eastAsia="仿宋" w:cs="仿宋"/>
          <w:sz w:val="28"/>
          <w:szCs w:val="28"/>
          <w:lang w:val="en-US" w:eastAsia="zh-CN"/>
        </w:rPr>
        <w:t>数据库</w:t>
      </w:r>
      <w:r>
        <w:rPr>
          <w:rFonts w:hint="eastAsia" w:ascii="仿宋" w:hAnsi="仿宋" w:eastAsia="仿宋" w:cs="仿宋"/>
          <w:sz w:val="28"/>
          <w:szCs w:val="28"/>
        </w:rPr>
        <w:t>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承办科室 ：总务科              使用科室：科研科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日期：2025年  月   日         日期： 2025年  月   日</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ascii="仿宋" w:hAnsi="仿宋" w:eastAsia="仿宋" w:cs="仿宋"/>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67899"/>
    <w:multiLevelType w:val="singleLevel"/>
    <w:tmpl w:val="39D67899"/>
    <w:lvl w:ilvl="0" w:tentative="0">
      <w:start w:val="1"/>
      <w:numFmt w:val="decimal"/>
      <w:suff w:val="nothing"/>
      <w:lvlText w:val="%1．"/>
      <w:lvlJc w:val="left"/>
      <w:pPr>
        <w:ind w:left="0" w:firstLine="400"/>
      </w:pPr>
      <w:rPr>
        <w:rFonts w:hint="default"/>
      </w:rPr>
    </w:lvl>
  </w:abstractNum>
  <w:abstractNum w:abstractNumId="1">
    <w:nsid w:val="4B2D4D7E"/>
    <w:multiLevelType w:val="multilevel"/>
    <w:tmpl w:val="4B2D4D7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BC4E9C"/>
    <w:multiLevelType w:val="singleLevel"/>
    <w:tmpl w:val="4CBC4E9C"/>
    <w:lvl w:ilvl="0" w:tentative="0">
      <w:start w:val="1"/>
      <w:numFmt w:val="decimal"/>
      <w:suff w:val="nothing"/>
      <w:lvlText w:val="%1．"/>
      <w:lvlJc w:val="left"/>
      <w:pPr>
        <w:ind w:left="0" w:firstLine="400"/>
      </w:pPr>
      <w:rPr>
        <w:rFonts w:hint="default"/>
      </w:rPr>
    </w:lvl>
  </w:abstractNum>
  <w:abstractNum w:abstractNumId="3">
    <w:nsid w:val="58B69D39"/>
    <w:multiLevelType w:val="singleLevel"/>
    <w:tmpl w:val="58B69D39"/>
    <w:lvl w:ilvl="0" w:tentative="0">
      <w:start w:val="1"/>
      <w:numFmt w:val="decimal"/>
      <w:suff w:val="nothing"/>
      <w:lvlText w:val="%1．"/>
      <w:lvlJc w:val="left"/>
      <w:pPr>
        <w:ind w:left="0" w:firstLine="400"/>
      </w:pPr>
      <w:rPr>
        <w:rFonts w:hint="default"/>
      </w:rPr>
    </w:lvl>
  </w:abstractNum>
  <w:abstractNum w:abstractNumId="4">
    <w:nsid w:val="657A9BF1"/>
    <w:multiLevelType w:val="singleLevel"/>
    <w:tmpl w:val="657A9BF1"/>
    <w:lvl w:ilvl="0" w:tentative="0">
      <w:start w:val="5"/>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425E9"/>
    <w:rsid w:val="0AC27302"/>
    <w:rsid w:val="0E657EE5"/>
    <w:rsid w:val="685E7EDA"/>
    <w:rsid w:val="77D3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99"/>
    <w:pPr>
      <w:keepNext/>
      <w:keepLines/>
      <w:widowControl w:val="0"/>
      <w:spacing w:before="120" w:after="120"/>
      <w:jc w:val="both"/>
      <w:outlineLvl w:val="3"/>
    </w:pPr>
    <w:rPr>
      <w:rFonts w:ascii="Cambria" w:hAnsi="Cambria" w:eastAsia="宋体" w:cs="宋体"/>
      <w:b/>
      <w:bCs/>
      <w:kern w:val="0"/>
      <w:sz w:val="28"/>
      <w:szCs w:val="2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next w:val="1"/>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2025-01-02T07:13:00Z</dcterms:created>
  <dc:creator>Administrator</dc:creator>
  <cp:lastModifiedBy> 哔哩哔哩小蘑菇</cp:lastModifiedBy>
  <dcterms:modified xsi:type="dcterms:W3CDTF">2025-01-17T02:37:49Z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