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81A72">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柳州市工人医院工会采购2025年春节值班人员慰问</w:t>
      </w:r>
      <w:r>
        <w:rPr>
          <w:rFonts w:hint="eastAsia" w:ascii="仿宋" w:hAnsi="仿宋" w:eastAsia="仿宋" w:cs="仿宋"/>
          <w:b/>
          <w:bCs/>
          <w:color w:val="auto"/>
          <w:sz w:val="36"/>
          <w:szCs w:val="36"/>
          <w:lang w:val="en-US" w:eastAsia="zh-CN"/>
        </w:rPr>
        <w:t>品</w:t>
      </w:r>
      <w:r>
        <w:rPr>
          <w:rFonts w:hint="eastAsia" w:ascii="仿宋" w:hAnsi="仿宋" w:eastAsia="仿宋" w:cs="仿宋"/>
          <w:b/>
          <w:bCs/>
          <w:color w:val="auto"/>
          <w:sz w:val="36"/>
          <w:szCs w:val="36"/>
        </w:rPr>
        <w:t>项目需求</w:t>
      </w:r>
    </w:p>
    <w:p w14:paraId="60E059F7">
      <w:pPr>
        <w:adjustRightInd w:val="0"/>
        <w:spacing w:line="400" w:lineRule="exact"/>
        <w:rPr>
          <w:rFonts w:hint="eastAsia" w:ascii="仿宋" w:hAnsi="仿宋" w:eastAsia="仿宋" w:cs="仿宋"/>
          <w:b/>
          <w:color w:val="auto"/>
          <w:sz w:val="28"/>
          <w:szCs w:val="28"/>
        </w:rPr>
      </w:pPr>
    </w:p>
    <w:p w14:paraId="7EF39E29">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14:paraId="1F1FBF60">
      <w:pPr>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柳</w:t>
      </w:r>
      <w:r>
        <w:rPr>
          <w:rFonts w:hint="eastAsia" w:ascii="仿宋" w:hAnsi="仿宋" w:eastAsia="仿宋" w:cs="仿宋"/>
          <w:bCs/>
          <w:color w:val="auto"/>
          <w:sz w:val="28"/>
          <w:szCs w:val="28"/>
        </w:rPr>
        <w:t>州市工人医院工会采购2025年春节值班人员慰问</w:t>
      </w:r>
      <w:r>
        <w:rPr>
          <w:rFonts w:hint="eastAsia" w:ascii="仿宋" w:hAnsi="仿宋" w:eastAsia="仿宋" w:cs="仿宋"/>
          <w:bCs/>
          <w:color w:val="auto"/>
          <w:sz w:val="28"/>
          <w:szCs w:val="28"/>
          <w:lang w:val="en-US" w:eastAsia="zh-CN"/>
        </w:rPr>
        <w:t>品</w:t>
      </w:r>
      <w:r>
        <w:rPr>
          <w:rFonts w:hint="eastAsia" w:ascii="仿宋" w:hAnsi="仿宋" w:eastAsia="仿宋" w:cs="仿宋"/>
          <w:bCs/>
          <w:color w:val="auto"/>
          <w:sz w:val="28"/>
          <w:szCs w:val="28"/>
        </w:rPr>
        <w:t>项目</w:t>
      </w:r>
      <w:bookmarkStart w:id="0" w:name="_GoBack"/>
      <w:bookmarkEnd w:id="0"/>
    </w:p>
    <w:p w14:paraId="31DE2F71">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14:paraId="1CF14AD5">
      <w:pPr>
        <w:spacing w:line="400" w:lineRule="exact"/>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本次慰问活动拟给每名值班人员发放慰问大礼包一个，每个大礼包价格100元，约1400份，按实际采购量进行结算，并由供应商提前配送到相关科室。</w:t>
      </w:r>
    </w:p>
    <w:p w14:paraId="3A56FB19">
      <w:pPr>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供应商资质条件</w:t>
      </w:r>
    </w:p>
    <w:p w14:paraId="7586D907">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1、</w:t>
      </w:r>
      <w:r>
        <w:rPr>
          <w:rFonts w:hint="eastAsia" w:ascii="仿宋" w:hAnsi="仿宋" w:eastAsia="仿宋" w:cs="仿宋"/>
          <w:bCs/>
          <w:color w:val="auto"/>
          <w:sz w:val="28"/>
          <w:szCs w:val="28"/>
        </w:rPr>
        <w:t>投标人需为国内注册（指按国家有关规定要求注册的）生产或经营本次招标采购货物及服务、具备法人资格的供应商。</w:t>
      </w:r>
    </w:p>
    <w:p w14:paraId="399062E2">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2、投标人三年内在经营活动中没有重大违法记录和不良信用记录。</w:t>
      </w:r>
    </w:p>
    <w:p w14:paraId="00C05F79">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3、投标人有效的“营业执照”副本复印件。</w:t>
      </w:r>
    </w:p>
    <w:p w14:paraId="20A85556">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4、投标人有效的“税务登记证”副本复印件。</w:t>
      </w:r>
    </w:p>
    <w:p w14:paraId="4AB0DAD2">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5、授权经营许可证，食品经营许可证。</w:t>
      </w:r>
    </w:p>
    <w:p w14:paraId="5523A2D6">
      <w:pPr>
        <w:keepNext w:val="0"/>
        <w:keepLines w:val="0"/>
        <w:pageBreakBefore w:val="0"/>
        <w:widowControl w:val="0"/>
        <w:numPr>
          <w:ilvl w:val="0"/>
          <w:numId w:val="1"/>
        </w:numPr>
        <w:kinsoku/>
        <w:wordWrap/>
        <w:overflowPunct/>
        <w:topLinePunct w:val="0"/>
        <w:autoSpaceDE/>
        <w:autoSpaceDN/>
        <w:bidi w:val="0"/>
        <w:adjustRightInd/>
        <w:snapToGrid/>
        <w:ind w:left="0" w:leftChars="0"/>
        <w:jc w:val="both"/>
        <w:textAlignment w:val="auto"/>
        <w:rPr>
          <w:rFonts w:hint="eastAsia" w:ascii="仿宋" w:hAnsi="仿宋" w:eastAsia="仿宋" w:cs="仿宋"/>
          <w:b/>
          <w:color w:val="auto"/>
          <w:sz w:val="28"/>
          <w:szCs w:val="28"/>
        </w:rPr>
      </w:pPr>
      <w:r>
        <w:rPr>
          <w:rFonts w:hint="eastAsia" w:ascii="仿宋" w:hAnsi="仿宋" w:eastAsia="仿宋" w:cs="仿宋"/>
          <w:b/>
          <w:bCs/>
          <w:color w:val="auto"/>
          <w:sz w:val="28"/>
          <w:szCs w:val="28"/>
        </w:rPr>
        <w:t>具体</w:t>
      </w: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内容如下：</w:t>
      </w:r>
    </w:p>
    <w:tbl>
      <w:tblPr>
        <w:tblStyle w:val="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11"/>
        <w:gridCol w:w="1669"/>
        <w:gridCol w:w="5891"/>
      </w:tblGrid>
      <w:tr w14:paraId="1318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7" w:type="dxa"/>
            <w:noWrap w:val="0"/>
            <w:vAlign w:val="center"/>
          </w:tcPr>
          <w:p w14:paraId="72989814">
            <w:pPr>
              <w:jc w:val="center"/>
              <w:rPr>
                <w:rFonts w:ascii="仿宋" w:hAnsi="仿宋" w:eastAsia="仿宋" w:cs="仿宋"/>
                <w:b/>
                <w:sz w:val="24"/>
              </w:rPr>
            </w:pPr>
            <w:r>
              <w:rPr>
                <w:rFonts w:hint="eastAsia" w:ascii="仿宋" w:hAnsi="仿宋" w:eastAsia="仿宋" w:cs="仿宋"/>
                <w:b/>
                <w:sz w:val="24"/>
              </w:rPr>
              <w:t>序号</w:t>
            </w:r>
          </w:p>
        </w:tc>
        <w:tc>
          <w:tcPr>
            <w:tcW w:w="1311" w:type="dxa"/>
            <w:noWrap w:val="0"/>
            <w:vAlign w:val="center"/>
          </w:tcPr>
          <w:p w14:paraId="511CEC2B">
            <w:pPr>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品牌</w:t>
            </w:r>
          </w:p>
        </w:tc>
        <w:tc>
          <w:tcPr>
            <w:tcW w:w="1669" w:type="dxa"/>
            <w:noWrap w:val="0"/>
            <w:vAlign w:val="center"/>
          </w:tcPr>
          <w:p w14:paraId="1ECF1F72">
            <w:pPr>
              <w:jc w:val="center"/>
              <w:rPr>
                <w:rFonts w:ascii="仿宋" w:hAnsi="仿宋" w:eastAsia="仿宋" w:cs="仿宋"/>
                <w:b/>
                <w:sz w:val="24"/>
              </w:rPr>
            </w:pPr>
            <w:r>
              <w:rPr>
                <w:rFonts w:hint="eastAsia" w:ascii="仿宋" w:hAnsi="仿宋" w:eastAsia="仿宋" w:cs="仿宋"/>
                <w:b/>
                <w:sz w:val="24"/>
              </w:rPr>
              <w:t>数量</w:t>
            </w:r>
          </w:p>
          <w:p w14:paraId="7A88BA37">
            <w:pPr>
              <w:jc w:val="center"/>
              <w:rPr>
                <w:rFonts w:ascii="仿宋" w:hAnsi="仿宋" w:eastAsia="仿宋" w:cs="仿宋"/>
                <w:b/>
                <w:sz w:val="24"/>
              </w:rPr>
            </w:pPr>
            <w:r>
              <w:rPr>
                <w:rFonts w:hint="eastAsia" w:ascii="仿宋" w:hAnsi="仿宋" w:eastAsia="仿宋" w:cs="仿宋"/>
                <w:b/>
                <w:sz w:val="24"/>
              </w:rPr>
              <w:t>及单位</w:t>
            </w:r>
          </w:p>
        </w:tc>
        <w:tc>
          <w:tcPr>
            <w:tcW w:w="5891" w:type="dxa"/>
            <w:noWrap w:val="0"/>
            <w:vAlign w:val="center"/>
          </w:tcPr>
          <w:p w14:paraId="7E9E39BC">
            <w:pPr>
              <w:jc w:val="center"/>
              <w:rPr>
                <w:rFonts w:ascii="仿宋" w:hAnsi="仿宋" w:eastAsia="仿宋" w:cs="仿宋"/>
                <w:b/>
                <w:bCs/>
                <w:sz w:val="24"/>
              </w:rPr>
            </w:pPr>
            <w:r>
              <w:rPr>
                <w:rFonts w:hint="eastAsia" w:ascii="仿宋" w:hAnsi="仿宋" w:eastAsia="仿宋" w:cs="仿宋"/>
                <w:b/>
                <w:sz w:val="24"/>
                <w:lang w:val="en-US" w:eastAsia="zh-CN"/>
              </w:rPr>
              <w:t>货物名称</w:t>
            </w:r>
            <w:r>
              <w:rPr>
                <w:rFonts w:hint="eastAsia" w:ascii="仿宋" w:hAnsi="仿宋" w:eastAsia="仿宋" w:cs="仿宋"/>
                <w:b/>
                <w:sz w:val="24"/>
              </w:rPr>
              <w:t>功能目标及技术指标</w:t>
            </w:r>
          </w:p>
        </w:tc>
      </w:tr>
      <w:tr w14:paraId="5CAA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10AB8F4E">
            <w:pPr>
              <w:widowControl/>
              <w:jc w:val="center"/>
              <w:rPr>
                <w:rFonts w:ascii="仿宋" w:hAnsi="仿宋" w:eastAsia="仿宋" w:cs="仿宋"/>
                <w:sz w:val="24"/>
              </w:rPr>
            </w:pPr>
            <w:r>
              <w:rPr>
                <w:rFonts w:hint="eastAsia" w:ascii="仿宋" w:hAnsi="仿宋" w:eastAsia="仿宋" w:cs="仿宋"/>
                <w:sz w:val="24"/>
              </w:rPr>
              <w:t>1</w:t>
            </w:r>
          </w:p>
        </w:tc>
        <w:tc>
          <w:tcPr>
            <w:tcW w:w="1311" w:type="dxa"/>
            <w:noWrap w:val="0"/>
            <w:vAlign w:val="center"/>
          </w:tcPr>
          <w:p w14:paraId="63584E8B">
            <w:pPr>
              <w:adjustRightInd w:val="0"/>
              <w:jc w:val="center"/>
              <w:rPr>
                <w:rFonts w:ascii="仿宋" w:hAnsi="仿宋" w:eastAsia="仿宋" w:cs="仿宋"/>
                <w:sz w:val="24"/>
              </w:rPr>
            </w:pPr>
          </w:p>
        </w:tc>
        <w:tc>
          <w:tcPr>
            <w:tcW w:w="1669" w:type="dxa"/>
            <w:noWrap w:val="0"/>
            <w:vAlign w:val="center"/>
          </w:tcPr>
          <w:p w14:paraId="3F8AE70C">
            <w:pPr>
              <w:jc w:val="center"/>
              <w:rPr>
                <w:rFonts w:ascii="仿宋" w:hAnsi="仿宋" w:eastAsia="仿宋" w:cs="仿宋"/>
                <w:sz w:val="24"/>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50478BC0">
            <w:pPr>
              <w:widowControl/>
              <w:adjustRightInd w:val="0"/>
              <w:snapToGrid w:val="0"/>
              <w:jc w:val="left"/>
              <w:textAlignment w:val="center"/>
              <w:rPr>
                <w:rFonts w:ascii="仿宋" w:hAnsi="仿宋" w:eastAsia="仿宋" w:cs="仿宋"/>
                <w:sz w:val="24"/>
              </w:rPr>
            </w:pPr>
            <w:r>
              <w:rPr>
                <w:rFonts w:hint="eastAsia" w:ascii="仿宋" w:hAnsi="仿宋" w:eastAsia="仿宋" w:cs="仿宋"/>
                <w:sz w:val="24"/>
              </w:rPr>
              <w:t>开心果</w:t>
            </w:r>
            <w:r>
              <w:rPr>
                <w:rFonts w:hint="eastAsia" w:ascii="仿宋" w:hAnsi="仿宋" w:eastAsia="仿宋" w:cs="仿宋"/>
                <w:sz w:val="24"/>
                <w:lang w:val="en-US" w:eastAsia="zh-CN"/>
              </w:rPr>
              <w:t>≥</w:t>
            </w:r>
            <w:r>
              <w:rPr>
                <w:rFonts w:hint="eastAsia" w:ascii="仿宋" w:hAnsi="仿宋" w:eastAsia="仿宋" w:cs="仿宋"/>
                <w:sz w:val="24"/>
              </w:rPr>
              <w:t>80g</w:t>
            </w:r>
          </w:p>
        </w:tc>
      </w:tr>
      <w:tr w14:paraId="19F9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69D04B3B">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311" w:type="dxa"/>
            <w:noWrap w:val="0"/>
            <w:vAlign w:val="center"/>
          </w:tcPr>
          <w:p w14:paraId="641C6534">
            <w:pPr>
              <w:adjustRightInd w:val="0"/>
              <w:jc w:val="center"/>
              <w:rPr>
                <w:rFonts w:hint="eastAsia" w:ascii="仿宋" w:hAnsi="仿宋" w:eastAsia="仿宋" w:cs="仿宋"/>
                <w:sz w:val="24"/>
                <w:lang w:val="en-US" w:eastAsia="zh-CN"/>
              </w:rPr>
            </w:pPr>
          </w:p>
        </w:tc>
        <w:tc>
          <w:tcPr>
            <w:tcW w:w="1669" w:type="dxa"/>
            <w:noWrap w:val="0"/>
            <w:vAlign w:val="center"/>
          </w:tcPr>
          <w:p w14:paraId="691347E2">
            <w:pPr>
              <w:jc w:val="center"/>
              <w:rPr>
                <w:rFonts w:hint="default" w:ascii="仿宋" w:hAnsi="仿宋" w:eastAsia="仿宋" w:cs="仿宋"/>
                <w:sz w:val="24"/>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084118BB">
            <w:pPr>
              <w:widowControl/>
              <w:adjustRightInd w:val="0"/>
              <w:snapToGrid w:val="0"/>
              <w:jc w:val="left"/>
              <w:textAlignment w:val="center"/>
              <w:rPr>
                <w:rFonts w:hint="eastAsia"/>
                <w:lang w:val="en-US" w:eastAsia="zh-CN"/>
              </w:rPr>
            </w:pPr>
            <w:r>
              <w:rPr>
                <w:rFonts w:hint="eastAsia" w:ascii="仿宋" w:hAnsi="仿宋" w:eastAsia="仿宋" w:cs="仿宋"/>
                <w:sz w:val="24"/>
                <w:lang w:val="en-US" w:eastAsia="zh-CN"/>
              </w:rPr>
              <w:t>手剥巴旦木≥120g</w:t>
            </w:r>
          </w:p>
        </w:tc>
      </w:tr>
      <w:tr w14:paraId="69D6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6545D9AE">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311" w:type="dxa"/>
            <w:noWrap w:val="0"/>
            <w:vAlign w:val="center"/>
          </w:tcPr>
          <w:p w14:paraId="7C769A7F">
            <w:pPr>
              <w:adjustRightInd w:val="0"/>
              <w:snapToGrid w:val="0"/>
              <w:jc w:val="center"/>
              <w:rPr>
                <w:rFonts w:ascii="仿宋" w:hAnsi="仿宋" w:eastAsia="仿宋" w:cs="仿宋"/>
                <w:sz w:val="24"/>
              </w:rPr>
            </w:pPr>
          </w:p>
        </w:tc>
        <w:tc>
          <w:tcPr>
            <w:tcW w:w="1669" w:type="dxa"/>
            <w:noWrap w:val="0"/>
            <w:vAlign w:val="center"/>
          </w:tcPr>
          <w:p w14:paraId="22158928">
            <w:pPr>
              <w:jc w:val="center"/>
              <w:rPr>
                <w:rFonts w:ascii="仿宋" w:hAnsi="仿宋" w:eastAsia="仿宋" w:cs="仿宋"/>
                <w:sz w:val="24"/>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5DA04C6D">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夹心饼干</w:t>
            </w:r>
            <w:r>
              <w:rPr>
                <w:rFonts w:hint="eastAsia" w:ascii="仿宋" w:hAnsi="仿宋" w:eastAsia="仿宋" w:cs="仿宋"/>
                <w:sz w:val="24"/>
                <w:lang w:val="en-US" w:eastAsia="zh-CN"/>
              </w:rPr>
              <w:t>≥</w:t>
            </w:r>
            <w:r>
              <w:rPr>
                <w:rFonts w:hint="eastAsia" w:ascii="仿宋" w:hAnsi="仿宋" w:eastAsia="仿宋" w:cs="仿宋"/>
                <w:bCs/>
                <w:sz w:val="24"/>
              </w:rPr>
              <w:t>9</w:t>
            </w:r>
            <w:r>
              <w:rPr>
                <w:rFonts w:hint="eastAsia" w:ascii="仿宋" w:hAnsi="仿宋" w:eastAsia="仿宋" w:cs="仿宋"/>
                <w:bCs/>
                <w:sz w:val="24"/>
                <w:lang w:val="en-US" w:eastAsia="zh-CN"/>
              </w:rPr>
              <w:t>0</w:t>
            </w:r>
            <w:r>
              <w:rPr>
                <w:rFonts w:hint="eastAsia" w:ascii="仿宋" w:hAnsi="仿宋" w:eastAsia="仿宋" w:cs="仿宋"/>
                <w:bCs/>
                <w:sz w:val="24"/>
              </w:rPr>
              <w:t>g</w:t>
            </w:r>
          </w:p>
        </w:tc>
      </w:tr>
      <w:tr w14:paraId="223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3A10D9EA">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311" w:type="dxa"/>
            <w:noWrap w:val="0"/>
            <w:vAlign w:val="center"/>
          </w:tcPr>
          <w:p w14:paraId="47521CDF">
            <w:pPr>
              <w:adjustRightInd w:val="0"/>
              <w:snapToGrid w:val="0"/>
              <w:jc w:val="center"/>
              <w:rPr>
                <w:rFonts w:hint="default" w:ascii="仿宋" w:hAnsi="仿宋" w:eastAsia="仿宋" w:cs="仿宋"/>
                <w:sz w:val="24"/>
                <w:highlight w:val="none"/>
                <w:lang w:val="en-US" w:eastAsia="zh-CN"/>
              </w:rPr>
            </w:pPr>
          </w:p>
        </w:tc>
        <w:tc>
          <w:tcPr>
            <w:tcW w:w="1669" w:type="dxa"/>
            <w:noWrap w:val="0"/>
            <w:vAlign w:val="center"/>
          </w:tcPr>
          <w:p w14:paraId="3EA58DAC">
            <w:pPr>
              <w:jc w:val="center"/>
              <w:rPr>
                <w:rFonts w:hint="eastAsia" w:ascii="仿宋" w:hAnsi="仿宋" w:eastAsia="仿宋" w:cs="仿宋"/>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64E104E4">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夹心糖</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500g</w:t>
            </w:r>
          </w:p>
        </w:tc>
      </w:tr>
      <w:tr w14:paraId="7AB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5E20206A">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311" w:type="dxa"/>
            <w:noWrap w:val="0"/>
            <w:vAlign w:val="center"/>
          </w:tcPr>
          <w:p w14:paraId="38341A43">
            <w:pPr>
              <w:adjustRightInd w:val="0"/>
              <w:snapToGrid w:val="0"/>
              <w:jc w:val="center"/>
              <w:rPr>
                <w:rFonts w:hint="default" w:ascii="仿宋" w:hAnsi="仿宋" w:eastAsia="仿宋" w:cs="仿宋"/>
                <w:sz w:val="24"/>
                <w:highlight w:val="none"/>
                <w:lang w:val="en-US" w:eastAsia="zh-CN"/>
              </w:rPr>
            </w:pPr>
          </w:p>
        </w:tc>
        <w:tc>
          <w:tcPr>
            <w:tcW w:w="1669" w:type="dxa"/>
            <w:noWrap w:val="0"/>
            <w:vAlign w:val="center"/>
          </w:tcPr>
          <w:p w14:paraId="7E3C9DEA">
            <w:pPr>
              <w:jc w:val="center"/>
              <w:rPr>
                <w:rFonts w:hint="eastAsia" w:ascii="仿宋" w:hAnsi="仿宋" w:eastAsia="仿宋" w:cs="仿宋"/>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0FC166D1">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牛肉条</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66g</w:t>
            </w:r>
          </w:p>
        </w:tc>
      </w:tr>
      <w:tr w14:paraId="6CDE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5472B189">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1311" w:type="dxa"/>
            <w:noWrap w:val="0"/>
            <w:vAlign w:val="center"/>
          </w:tcPr>
          <w:p w14:paraId="524DCD8A">
            <w:pPr>
              <w:adjustRightInd w:val="0"/>
              <w:snapToGrid w:val="0"/>
              <w:jc w:val="center"/>
              <w:textAlignment w:val="center"/>
              <w:rPr>
                <w:rFonts w:hint="eastAsia" w:ascii="仿宋" w:hAnsi="仿宋" w:eastAsia="仿宋" w:cs="仿宋"/>
                <w:sz w:val="24"/>
                <w:highlight w:val="none"/>
                <w:lang w:val="en-US" w:eastAsia="zh-CN"/>
              </w:rPr>
            </w:pPr>
          </w:p>
        </w:tc>
        <w:tc>
          <w:tcPr>
            <w:tcW w:w="1669" w:type="dxa"/>
            <w:noWrap w:val="0"/>
            <w:vAlign w:val="center"/>
          </w:tcPr>
          <w:p w14:paraId="14FEE1C6">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447B3AD1">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什锦大礼包</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508g</w:t>
            </w:r>
          </w:p>
        </w:tc>
      </w:tr>
      <w:tr w14:paraId="1621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7CF36203">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311" w:type="dxa"/>
            <w:noWrap w:val="0"/>
            <w:vAlign w:val="center"/>
          </w:tcPr>
          <w:p w14:paraId="40C08EFB">
            <w:pPr>
              <w:adjustRightInd w:val="0"/>
              <w:snapToGrid w:val="0"/>
              <w:jc w:val="center"/>
              <w:textAlignment w:val="center"/>
              <w:rPr>
                <w:rFonts w:hint="eastAsia" w:ascii="仿宋" w:hAnsi="仿宋" w:eastAsia="仿宋" w:cs="仿宋"/>
                <w:bCs/>
                <w:sz w:val="24"/>
                <w:highlight w:val="none"/>
                <w:lang w:val="en-US" w:eastAsia="zh-CN"/>
              </w:rPr>
            </w:pPr>
          </w:p>
        </w:tc>
        <w:tc>
          <w:tcPr>
            <w:tcW w:w="1669" w:type="dxa"/>
            <w:noWrap w:val="0"/>
            <w:vAlign w:val="center"/>
          </w:tcPr>
          <w:p w14:paraId="6AA1FC6F">
            <w:pPr>
              <w:adjustRightInd w:val="0"/>
              <w:snapToGrid w:val="0"/>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310E38E4">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牛肉条</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66g</w:t>
            </w:r>
          </w:p>
        </w:tc>
      </w:tr>
      <w:tr w14:paraId="35CB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6CD9C563">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311" w:type="dxa"/>
            <w:noWrap w:val="0"/>
            <w:vAlign w:val="center"/>
          </w:tcPr>
          <w:p w14:paraId="50E837F5">
            <w:pPr>
              <w:adjustRightInd w:val="0"/>
              <w:snapToGrid w:val="0"/>
              <w:jc w:val="center"/>
              <w:textAlignment w:val="center"/>
              <w:rPr>
                <w:rFonts w:hint="eastAsia" w:ascii="仿宋" w:hAnsi="仿宋" w:eastAsia="仿宋" w:cs="仿宋"/>
                <w:bCs/>
                <w:sz w:val="24"/>
                <w:highlight w:val="none"/>
                <w:lang w:val="en-US" w:eastAsia="zh-CN"/>
              </w:rPr>
            </w:pPr>
          </w:p>
        </w:tc>
        <w:tc>
          <w:tcPr>
            <w:tcW w:w="1669" w:type="dxa"/>
            <w:noWrap w:val="0"/>
            <w:vAlign w:val="center"/>
          </w:tcPr>
          <w:p w14:paraId="210A57B3">
            <w:pPr>
              <w:adjustRightInd w:val="0"/>
              <w:snapToGrid w:val="0"/>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3F81B1A4">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焦糖瓜子</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400g</w:t>
            </w:r>
          </w:p>
        </w:tc>
      </w:tr>
      <w:tr w14:paraId="684D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noWrap w:val="0"/>
            <w:vAlign w:val="center"/>
          </w:tcPr>
          <w:p w14:paraId="42BEDE30">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311" w:type="dxa"/>
            <w:noWrap w:val="0"/>
            <w:vAlign w:val="center"/>
          </w:tcPr>
          <w:p w14:paraId="393F481F">
            <w:pPr>
              <w:adjustRightInd w:val="0"/>
              <w:snapToGrid w:val="0"/>
              <w:jc w:val="center"/>
              <w:textAlignment w:val="center"/>
              <w:rPr>
                <w:rFonts w:hint="eastAsia" w:ascii="仿宋" w:hAnsi="仿宋" w:eastAsia="仿宋" w:cs="仿宋"/>
                <w:bCs/>
                <w:sz w:val="24"/>
                <w:highlight w:val="none"/>
                <w:lang w:val="en-US" w:eastAsia="zh-CN"/>
              </w:rPr>
            </w:pPr>
          </w:p>
        </w:tc>
        <w:tc>
          <w:tcPr>
            <w:tcW w:w="1669" w:type="dxa"/>
            <w:noWrap w:val="0"/>
            <w:vAlign w:val="center"/>
          </w:tcPr>
          <w:p w14:paraId="11A31F3E">
            <w:pPr>
              <w:adjustRightInd w:val="0"/>
              <w:snapToGrid w:val="0"/>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086809E7">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山楂条</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260g</w:t>
            </w:r>
          </w:p>
        </w:tc>
      </w:tr>
      <w:tr w14:paraId="08C2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14:paraId="5646397C">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311" w:type="dxa"/>
            <w:noWrap w:val="0"/>
            <w:vAlign w:val="center"/>
          </w:tcPr>
          <w:p w14:paraId="61B626FE">
            <w:pPr>
              <w:adjustRightInd w:val="0"/>
              <w:snapToGrid w:val="0"/>
              <w:jc w:val="center"/>
              <w:textAlignment w:val="center"/>
              <w:rPr>
                <w:rFonts w:hint="eastAsia" w:ascii="仿宋" w:hAnsi="仿宋" w:eastAsia="仿宋" w:cs="仿宋"/>
                <w:bCs/>
                <w:sz w:val="24"/>
                <w:highlight w:val="none"/>
                <w:lang w:val="en-US" w:eastAsia="zh-CN"/>
              </w:rPr>
            </w:pPr>
          </w:p>
        </w:tc>
        <w:tc>
          <w:tcPr>
            <w:tcW w:w="1669" w:type="dxa"/>
            <w:noWrap w:val="0"/>
            <w:vAlign w:val="center"/>
          </w:tcPr>
          <w:p w14:paraId="6EFFE64C">
            <w:pPr>
              <w:adjustRightInd w:val="0"/>
              <w:snapToGrid w:val="0"/>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5891" w:type="dxa"/>
            <w:noWrap w:val="0"/>
            <w:vAlign w:val="center"/>
          </w:tcPr>
          <w:p w14:paraId="31F73939">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烤鸡小腿</w:t>
            </w:r>
            <w:r>
              <w:rPr>
                <w:rFonts w:hint="eastAsia" w:ascii="仿宋" w:hAnsi="仿宋" w:eastAsia="仿宋" w:cs="仿宋"/>
                <w:sz w:val="24"/>
                <w:lang w:val="en-US" w:eastAsia="zh-CN"/>
              </w:rPr>
              <w:t>≥</w:t>
            </w:r>
            <w:r>
              <w:rPr>
                <w:rFonts w:hint="eastAsia" w:ascii="仿宋" w:hAnsi="仿宋" w:eastAsia="仿宋" w:cs="仿宋"/>
                <w:bCs/>
                <w:sz w:val="24"/>
                <w:highlight w:val="none"/>
                <w:lang w:val="en-US" w:eastAsia="zh-CN"/>
              </w:rPr>
              <w:t>60g</w:t>
            </w:r>
          </w:p>
        </w:tc>
      </w:tr>
      <w:tr w14:paraId="6D11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98" w:type="dxa"/>
            <w:gridSpan w:val="4"/>
            <w:noWrap w:val="0"/>
            <w:vAlign w:val="center"/>
          </w:tcPr>
          <w:p w14:paraId="4D5785A8">
            <w:pPr>
              <w:widowControl/>
              <w:adjustRightInd w:val="0"/>
              <w:snapToGrid w:val="0"/>
              <w:jc w:val="left"/>
              <w:textAlignment w:val="center"/>
              <w:rPr>
                <w:rFonts w:hint="default" w:ascii="仿宋" w:hAnsi="仿宋" w:eastAsia="仿宋" w:cs="仿宋"/>
                <w:bCs/>
                <w:sz w:val="24"/>
                <w:highlight w:val="none"/>
                <w:lang w:val="en-US" w:eastAsia="zh-CN"/>
              </w:rPr>
            </w:pPr>
            <w:r>
              <w:rPr>
                <w:rFonts w:hint="eastAsia" w:ascii="仿宋" w:hAnsi="仿宋" w:eastAsia="仿宋" w:cs="仿宋"/>
                <w:b/>
                <w:bCs w:val="0"/>
                <w:sz w:val="24"/>
                <w:highlight w:val="none"/>
                <w:lang w:val="en-US" w:eastAsia="zh-CN"/>
              </w:rPr>
              <w:t>以上10个单品由投标供应商自行组合进行投标，数量及品目数不限（注明品牌规格，所投产品必须为正规品牌产品，有正规商标，参数优于或等于技术参数），预控价100元（含大礼盒包装）。</w:t>
            </w:r>
          </w:p>
        </w:tc>
      </w:tr>
    </w:tbl>
    <w:p w14:paraId="39FEE587">
      <w:pPr>
        <w:widowControl/>
        <w:adjustRightInd w:val="0"/>
        <w:snapToGrid w:val="0"/>
        <w:ind w:firstLine="482" w:firstLineChars="200"/>
        <w:jc w:val="left"/>
        <w:textAlignment w:val="center"/>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如需详细了解项目需求，请联系招标办：0772-3832133，总务科：18077209939 樊女士</w:t>
      </w:r>
    </w:p>
    <w:p w14:paraId="2BD830FB">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1、该项目不接受联合体投标。</w:t>
      </w:r>
    </w:p>
    <w:p w14:paraId="58B23053">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本次项目采购为组合产品，投标供应商自行组合（品目范围为以上10个单品，数量及品目数不限，需注明品牌规格，所投产品必须为正规品牌产品，参数优于或等于技术参数），预控价100元（含大礼盒包装），拟采购1400份，最终以实际采购量为准。</w:t>
      </w:r>
    </w:p>
    <w:p w14:paraId="14907959">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六、供货要求</w:t>
      </w:r>
    </w:p>
    <w:p w14:paraId="668A8CF3">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1、为保障本项目供货进度和质量，投标人应根据实际情况制定出完整组织方案、进度计划、配送计划、人员配置及服务保障方法和措施等。</w:t>
      </w:r>
    </w:p>
    <w:p w14:paraId="5FE90DA9">
      <w:pPr>
        <w:spacing w:line="4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2、供应商根据</w:t>
      </w:r>
      <w:r>
        <w:rPr>
          <w:rFonts w:hint="eastAsia" w:ascii="仿宋" w:hAnsi="仿宋" w:eastAsia="仿宋" w:cs="仿宋"/>
          <w:b w:val="0"/>
          <w:bCs w:val="0"/>
          <w:color w:val="auto"/>
          <w:kern w:val="2"/>
          <w:sz w:val="28"/>
          <w:szCs w:val="28"/>
          <w:lang w:val="en-US" w:eastAsia="zh-CN" w:bidi="ar-SA"/>
        </w:rPr>
        <w:t>采购人</w:t>
      </w:r>
      <w:r>
        <w:rPr>
          <w:rFonts w:hint="eastAsia" w:ascii="仿宋" w:hAnsi="仿宋" w:eastAsia="仿宋" w:cs="仿宋"/>
          <w:color w:val="auto"/>
          <w:sz w:val="28"/>
          <w:szCs w:val="28"/>
        </w:rPr>
        <w:t>要求</w:t>
      </w:r>
      <w:r>
        <w:rPr>
          <w:rFonts w:hint="eastAsia" w:ascii="仿宋" w:hAnsi="仿宋" w:eastAsia="仿宋" w:cs="仿宋"/>
          <w:color w:val="auto"/>
          <w:sz w:val="28"/>
          <w:szCs w:val="28"/>
          <w:lang w:val="en-US" w:eastAsia="zh-CN"/>
        </w:rPr>
        <w:t>配送慰问品到对应科室</w:t>
      </w:r>
      <w:r>
        <w:rPr>
          <w:rFonts w:hint="eastAsia" w:ascii="仿宋" w:hAnsi="仿宋" w:eastAsia="仿宋" w:cs="仿宋"/>
          <w:color w:val="auto"/>
          <w:sz w:val="28"/>
          <w:szCs w:val="28"/>
          <w:lang w:eastAsia="zh-CN"/>
        </w:rPr>
        <w:t>。</w:t>
      </w:r>
    </w:p>
    <w:p w14:paraId="20A83F98">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七、报价要求</w:t>
      </w:r>
    </w:p>
    <w:p w14:paraId="1B472830">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1、报价包含：产品费用、人工费、材料费、装卸车费、运输费、管理费、保险、维护、利润、税金等为完成本项目所需的所有费用，在实施期间不因市场因素而变动。</w:t>
      </w:r>
    </w:p>
    <w:p w14:paraId="0CB80512">
      <w:pPr>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投标文件中必须提供所投产品外包装清晰正反面图片或网页截图。图片或截图必须能清晰体现该产品的主要技术参数。如提供不全或不按要求提供的，则按如下处理：属于要求实质性响应技术参数的投标无效。其他技术参数在“货物性能”评审时视为负偏离，按评审标准进行扣分。</w:t>
      </w:r>
    </w:p>
    <w:p w14:paraId="4CCA9F40">
      <w:pPr>
        <w:adjustRightInd w:val="0"/>
        <w:spacing w:line="400" w:lineRule="exac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en-US" w:eastAsia="zh-CN"/>
        </w:rPr>
        <w:t>产品质量及</w:t>
      </w:r>
      <w:r>
        <w:rPr>
          <w:rFonts w:hint="eastAsia" w:ascii="仿宋" w:hAnsi="仿宋" w:eastAsia="仿宋" w:cs="仿宋"/>
          <w:b/>
          <w:color w:val="auto"/>
          <w:sz w:val="28"/>
          <w:szCs w:val="28"/>
        </w:rPr>
        <w:t>售后</w:t>
      </w:r>
      <w:r>
        <w:rPr>
          <w:rFonts w:hint="eastAsia" w:ascii="仿宋" w:hAnsi="仿宋" w:eastAsia="仿宋" w:cs="仿宋"/>
          <w:b/>
          <w:color w:val="auto"/>
          <w:sz w:val="28"/>
          <w:szCs w:val="28"/>
          <w:lang w:val="en-US" w:eastAsia="zh-CN"/>
        </w:rPr>
        <w:t>要求</w:t>
      </w:r>
    </w:p>
    <w:p w14:paraId="16A86E2B">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产品须是按厂家出厂标准配置提供的全新产品，是具备正规合法经销渠道，符合《中华人民共和国食品安全法》、《中华人民共和国食品安全法实施条例》等有关规定的质量标准、环保标准或行业标准等国家相关质量标准的合格产品。交货后如出现质量达不到国家标准/行业标准的情况，供应商应无条件给予更换。</w:t>
      </w:r>
    </w:p>
    <w:p w14:paraId="2312BC08">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14:paraId="6EEB2351">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相关条款要求中标人赔偿。在规定的保质期内，中标人应对由于运输装卸、保质期等引起的问题承担全部责任。</w:t>
      </w:r>
    </w:p>
    <w:p w14:paraId="214278B9">
      <w:pPr>
        <w:widowControl w:val="0"/>
        <w:spacing w:line="400" w:lineRule="exact"/>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3、如招标人需增补慰问品数量，按实际采购量进行结算，中标人需根据招标人需求配送至指定地点。</w:t>
      </w:r>
    </w:p>
    <w:p w14:paraId="1B1735F8">
      <w:pPr>
        <w:widowControl w:val="0"/>
        <w:spacing w:line="400" w:lineRule="exact"/>
        <w:ind w:firstLine="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九、慰问品验收</w:t>
      </w:r>
    </w:p>
    <w:p w14:paraId="4A4D0F99">
      <w:pPr>
        <w:spacing w:line="400" w:lineRule="exact"/>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甲方收到乙方货物检验无误后，应与乙方办理签收手续。验收中，如甲方发现包装破损或存在保质期、质量等问题应告知乙方，乙方须在甲方告知后三个工作日内予以退换。</w:t>
      </w:r>
    </w:p>
    <w:p w14:paraId="07C0D63C">
      <w:pPr>
        <w:widowControl w:val="0"/>
        <w:spacing w:line="400" w:lineRule="exact"/>
        <w:ind w:firstLine="0" w:firstLineChars="0"/>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十、付款方式：</w:t>
      </w:r>
    </w:p>
    <w:p w14:paraId="23D2805C">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本项目无预付款，按实际</w:t>
      </w:r>
      <w:r>
        <w:rPr>
          <w:rFonts w:hint="eastAsia" w:ascii="仿宋" w:hAnsi="仿宋" w:eastAsia="仿宋" w:cs="仿宋"/>
          <w:color w:val="auto"/>
          <w:kern w:val="0"/>
          <w:sz w:val="28"/>
          <w:szCs w:val="28"/>
          <w:lang w:val="en-US" w:eastAsia="zh-CN" w:bidi="ar"/>
        </w:rPr>
        <w:t>配送、签收量进行结算</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一次性付全款。</w:t>
      </w:r>
    </w:p>
    <w:p w14:paraId="4D17388B">
      <w:pPr>
        <w:widowControl w:val="0"/>
        <w:spacing w:line="400" w:lineRule="exact"/>
        <w:ind w:firstLine="0" w:firstLineChars="0"/>
        <w:jc w:val="both"/>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十一、供应商遴选方式</w:t>
      </w:r>
    </w:p>
    <w:p w14:paraId="0439AE3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sz w:val="28"/>
          <w:szCs w:val="28"/>
          <w:lang w:val="en-US" w:eastAsia="zh-CN"/>
        </w:rPr>
        <w:t>对供应商商品质量、服务及时性及价格进行综合评价，遴选1家供应商。</w:t>
      </w:r>
    </w:p>
    <w:p w14:paraId="33C46A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承办科室 ：总务科             使用科室：工会办公室</w:t>
      </w:r>
    </w:p>
    <w:p w14:paraId="2D73C7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经办人：                      </w:t>
      </w:r>
    </w:p>
    <w:p w14:paraId="6967A1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科主任：                               </w:t>
      </w:r>
    </w:p>
    <w:p w14:paraId="0C8D5B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日期：   年  月  日           日期：    年   月  日</w:t>
      </w:r>
    </w:p>
    <w:sectPr>
      <w:pgSz w:w="11906" w:h="16838"/>
      <w:pgMar w:top="850" w:right="1020"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769E1"/>
    <w:multiLevelType w:val="singleLevel"/>
    <w:tmpl w:val="F8F769E1"/>
    <w:lvl w:ilvl="0" w:tentative="0">
      <w:start w:val="4"/>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5D7B"/>
    <w:rsid w:val="056B6636"/>
    <w:rsid w:val="0CB30EA9"/>
    <w:rsid w:val="14025171"/>
    <w:rsid w:val="21A402B8"/>
    <w:rsid w:val="370630FC"/>
    <w:rsid w:val="4190218C"/>
    <w:rsid w:val="438F17CB"/>
    <w:rsid w:val="466873B5"/>
    <w:rsid w:val="47D11A7A"/>
    <w:rsid w:val="4EB53CAF"/>
    <w:rsid w:val="6D9E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List 2"/>
    <w:qFormat/>
    <w:uiPriority w:val="0"/>
    <w:pPr>
      <w:widowControl w:val="0"/>
      <w:ind w:left="100" w:leftChars="200" w:hanging="200" w:hangingChars="200"/>
      <w:jc w:val="both"/>
    </w:pPr>
    <w:rPr>
      <w:rFonts w:eastAsia="宋体" w:asciiTheme="minorHAnsi" w:hAnsiTheme="minorHAnsi" w:cstheme="minorBidi"/>
      <w:kern w:val="2"/>
      <w:sz w:val="21"/>
      <w:szCs w:val="22"/>
      <w:lang w:val="en-US" w:eastAsia="zh-CN"/>
    </w:rPr>
  </w:style>
  <w:style w:type="paragraph" w:styleId="6">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1589</Words>
  <Characters>1656</Characters>
  <Lines>0</Lines>
  <Paragraphs>0</Paragraphs>
  <TotalTime>3</TotalTime>
  <ScaleCrop>false</ScaleCrop>
  <LinksUpToDate>false</LinksUpToDate>
  <CharactersWithSpaces>1751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2024-12-10T10:31:00Z</dcterms:created>
  <dc:creator>Administrator</dc:creator>
  <cp:lastModifiedBy>加深</cp:lastModifiedBy>
  <cp:lastPrinted>2024-12-13T01:01:00Z</cp:lastPrinted>
  <dcterms:modified xsi:type="dcterms:W3CDTF">2025-01-09T08:54:13Z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eyJoZGlkIjoiNmFkNzM0MjEyYTJlMGViYTU0N2EyNjMzYjM3OTNmZjIiLCJ1c2VySWQiOiIzNTY0MzY5ODAifQ==</vt:lpwstr>
  </property>
  <property fmtid="{D5CDD505-2E9C-101B-9397-08002B2CF9AE}" pid="4" name="ICV">
    <vt:lpwstr>918F3C6C234340379D41598723DF1389_12</vt:lpwstr>
  </property>
</Properties>
</file>