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柳州市工人医院2025年离退休职工春节慰问品采购项目需求</w:t>
      </w:r>
    </w:p>
    <w:p>
      <w:pPr>
        <w:adjustRightInd w:val="0"/>
        <w:spacing w:line="400" w:lineRule="exact"/>
        <w:rPr>
          <w:rFonts w:hint="eastAsia" w:ascii="仿宋" w:hAnsi="仿宋" w:eastAsia="仿宋" w:cs="仿宋"/>
          <w:b/>
          <w:color w:val="auto"/>
          <w:sz w:val="28"/>
          <w:szCs w:val="28"/>
        </w:rPr>
      </w:pP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pPr>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柳州市工人医院2025年离退休职工春节慰问品采购</w:t>
      </w:r>
      <w:r>
        <w:rPr>
          <w:rFonts w:hint="eastAsia" w:ascii="仿宋" w:hAnsi="仿宋" w:eastAsia="仿宋" w:cs="仿宋"/>
          <w:bCs/>
          <w:color w:val="auto"/>
          <w:sz w:val="28"/>
          <w:szCs w:val="28"/>
          <w:lang w:val="en-US" w:eastAsia="zh-CN"/>
        </w:rPr>
        <w:t>项目</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pPr>
        <w:spacing w:line="400" w:lineRule="exact"/>
        <w:ind w:firstLine="560" w:firstLineChars="200"/>
        <w:rPr>
          <w:rFonts w:hint="eastAsia" w:ascii="仿宋" w:hAnsi="仿宋" w:eastAsia="仿宋" w:cs="仿宋"/>
          <w:bCs/>
          <w:sz w:val="30"/>
          <w:szCs w:val="30"/>
          <w:lang w:eastAsia="zh-CN"/>
        </w:rPr>
      </w:pPr>
      <w:r>
        <w:rPr>
          <w:rFonts w:hint="eastAsia" w:ascii="仿宋" w:hAnsi="仿宋" w:eastAsia="仿宋" w:cs="仿宋"/>
          <w:bCs/>
          <w:color w:val="auto"/>
          <w:sz w:val="28"/>
          <w:szCs w:val="28"/>
          <w:lang w:val="en-US" w:eastAsia="zh-CN"/>
        </w:rPr>
        <w:t>2025 年春节即将到来，为做好对离退休人员的春节慰问工作，体现医院对离退休人员的关怀,按照《柳州市工人医院工会会员慰问及奖励管理办法(试行)》(柳工医党[2022]145号)文件精神，我院拟给离退休职工（776名）发放春节慰问品，每人400元预算发放，采购品类按套餐组合（不超过400元/份）。</w:t>
      </w:r>
    </w:p>
    <w:p>
      <w:pPr>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供应商资质条件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1、</w:t>
      </w:r>
      <w:r>
        <w:rPr>
          <w:rFonts w:hint="eastAsia" w:ascii="仿宋" w:hAnsi="仿宋" w:eastAsia="仿宋" w:cs="仿宋"/>
          <w:bCs/>
          <w:color w:val="auto"/>
          <w:sz w:val="28"/>
          <w:szCs w:val="28"/>
        </w:rPr>
        <w:t>投标人需为国内注册（指按国家有关规定要求注册的）生产或经营本次招标采购货物及服务、具备法人资格的供应商。</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2、投标人三年内在经营活动中没有重大违法记录和不良信用记录。</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3、投标人有效的“营业执照”副本复印件。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4、投标人有效的“税务登记证”副本复印件。</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5、授权经营许可证，食品经营许可证。</w:t>
      </w:r>
    </w:p>
    <w:p>
      <w:pPr>
        <w:keepNext w:val="0"/>
        <w:keepLines w:val="0"/>
        <w:pageBreakBefore w:val="0"/>
        <w:numPr>
          <w:ilvl w:val="0"/>
          <w:numId w:val="0"/>
        </w:numPr>
        <w:kinsoku/>
        <w:wordWrap/>
        <w:overflowPunct/>
        <w:topLinePunct w:val="0"/>
        <w:autoSpaceDE/>
        <w:autoSpaceDN/>
        <w:bidi w:val="0"/>
        <w:snapToGrid/>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6、</w:t>
      </w:r>
      <w:r>
        <w:rPr>
          <w:rFonts w:hint="eastAsia" w:ascii="仿宋" w:hAnsi="仿宋" w:eastAsia="仿宋" w:cs="仿宋"/>
          <w:color w:val="auto"/>
          <w:sz w:val="28"/>
          <w:szCs w:val="28"/>
          <w:lang w:val="en-US" w:eastAsia="zh-CN"/>
        </w:rPr>
        <w:t>产品检验报告。</w:t>
      </w:r>
    </w:p>
    <w:p>
      <w:pPr>
        <w:keepNext w:val="0"/>
        <w:keepLines w:val="0"/>
        <w:pageBreakBefore w:val="0"/>
        <w:widowControl w:val="0"/>
        <w:numPr>
          <w:ilvl w:val="0"/>
          <w:numId w:val="1"/>
        </w:numPr>
        <w:kinsoku/>
        <w:wordWrap/>
        <w:overflowPunct/>
        <w:topLinePunct w:val="0"/>
        <w:autoSpaceDE/>
        <w:autoSpaceDN/>
        <w:bidi w:val="0"/>
        <w:adjustRightInd/>
        <w:snapToGrid/>
        <w:ind w:left="0" w:leftChars="0"/>
        <w:jc w:val="both"/>
        <w:textAlignment w:val="auto"/>
        <w:rPr>
          <w:rFonts w:hint="eastAsia" w:ascii="仿宋" w:hAnsi="仿宋" w:eastAsia="仿宋" w:cs="仿宋"/>
          <w:b/>
          <w:color w:val="auto"/>
          <w:sz w:val="28"/>
          <w:szCs w:val="28"/>
        </w:rPr>
      </w:pPr>
      <w:r>
        <w:rPr>
          <w:rFonts w:hint="eastAsia" w:ascii="仿宋" w:hAnsi="仿宋" w:eastAsia="仿宋" w:cs="仿宋"/>
          <w:b/>
          <w:bCs/>
          <w:color w:val="auto"/>
          <w:sz w:val="28"/>
          <w:szCs w:val="28"/>
        </w:rPr>
        <w:t>具体内容如下：</w:t>
      </w:r>
    </w:p>
    <w:p>
      <w:pPr>
        <w:numPr>
          <w:ilvl w:val="0"/>
          <w:numId w:val="2"/>
        </w:numPr>
        <w:spacing w:line="4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油类：（1）一级花生油 （2）茶油；</w:t>
      </w:r>
    </w:p>
    <w:p>
      <w:pPr>
        <w:numPr>
          <w:ilvl w:val="0"/>
          <w:numId w:val="2"/>
        </w:numPr>
        <w:spacing w:line="4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米面类：（1）大米（2）小米（3）红米（4）面条（5）红薯粉</w:t>
      </w:r>
    </w:p>
    <w:p>
      <w:pPr>
        <w:numPr>
          <w:ilvl w:val="0"/>
          <w:numId w:val="2"/>
        </w:numPr>
        <w:spacing w:line="4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干货类：(1)香菇（2）木耳（3）笋干（4）竹荪（5）罗汉果</w:t>
      </w:r>
    </w:p>
    <w:p>
      <w:pPr>
        <w:numPr>
          <w:ilvl w:val="0"/>
          <w:numId w:val="2"/>
        </w:numPr>
        <w:spacing w:line="4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腊肉类：（1）腊肉（2）腊肠</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参数如下：</w:t>
      </w:r>
    </w:p>
    <w:tbl>
      <w:tblPr>
        <w:tblStyle w:val="4"/>
        <w:tblW w:w="10020"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26"/>
        <w:gridCol w:w="1114"/>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46" w:type="dxa"/>
            <w:noWrap w:val="0"/>
            <w:vAlign w:val="center"/>
          </w:tcPr>
          <w:p>
            <w:pPr>
              <w:jc w:val="center"/>
              <w:rPr>
                <w:rFonts w:ascii="仿宋" w:hAnsi="仿宋" w:eastAsia="仿宋" w:cs="仿宋"/>
                <w:b/>
                <w:sz w:val="24"/>
              </w:rPr>
            </w:pPr>
            <w:r>
              <w:rPr>
                <w:rFonts w:hint="eastAsia" w:ascii="仿宋" w:hAnsi="仿宋" w:eastAsia="仿宋" w:cs="仿宋"/>
                <w:b/>
                <w:sz w:val="24"/>
              </w:rPr>
              <w:t>序号</w:t>
            </w:r>
          </w:p>
        </w:tc>
        <w:tc>
          <w:tcPr>
            <w:tcW w:w="926" w:type="dxa"/>
            <w:noWrap w:val="0"/>
            <w:vAlign w:val="center"/>
          </w:tcPr>
          <w:p>
            <w:pPr>
              <w:jc w:val="center"/>
              <w:rPr>
                <w:rFonts w:ascii="仿宋" w:hAnsi="仿宋" w:eastAsia="仿宋" w:cs="仿宋"/>
                <w:b/>
                <w:sz w:val="24"/>
              </w:rPr>
            </w:pPr>
            <w:r>
              <w:rPr>
                <w:rFonts w:hint="eastAsia" w:ascii="仿宋" w:hAnsi="仿宋" w:eastAsia="仿宋" w:cs="仿宋"/>
                <w:b/>
                <w:sz w:val="24"/>
              </w:rPr>
              <w:t>货物</w:t>
            </w:r>
          </w:p>
          <w:p>
            <w:pPr>
              <w:jc w:val="center"/>
              <w:rPr>
                <w:rFonts w:ascii="仿宋" w:hAnsi="仿宋" w:eastAsia="仿宋" w:cs="仿宋"/>
                <w:b/>
                <w:sz w:val="24"/>
              </w:rPr>
            </w:pPr>
            <w:r>
              <w:rPr>
                <w:rFonts w:hint="eastAsia" w:ascii="仿宋" w:hAnsi="仿宋" w:eastAsia="仿宋" w:cs="仿宋"/>
                <w:b/>
                <w:sz w:val="24"/>
              </w:rPr>
              <w:t>名称</w:t>
            </w:r>
          </w:p>
        </w:tc>
        <w:tc>
          <w:tcPr>
            <w:tcW w:w="1114" w:type="dxa"/>
            <w:noWrap w:val="0"/>
            <w:vAlign w:val="center"/>
          </w:tcPr>
          <w:p>
            <w:pPr>
              <w:jc w:val="center"/>
              <w:rPr>
                <w:rFonts w:ascii="仿宋" w:hAnsi="仿宋" w:eastAsia="仿宋" w:cs="仿宋"/>
                <w:b/>
                <w:sz w:val="24"/>
              </w:rPr>
            </w:pPr>
            <w:r>
              <w:rPr>
                <w:rFonts w:hint="eastAsia" w:ascii="仿宋" w:hAnsi="仿宋" w:eastAsia="仿宋" w:cs="仿宋"/>
                <w:b/>
                <w:sz w:val="24"/>
              </w:rPr>
              <w:t>数量</w:t>
            </w:r>
          </w:p>
          <w:p>
            <w:pPr>
              <w:jc w:val="center"/>
              <w:rPr>
                <w:rFonts w:ascii="仿宋" w:hAnsi="仿宋" w:eastAsia="仿宋" w:cs="仿宋"/>
                <w:b/>
                <w:sz w:val="24"/>
              </w:rPr>
            </w:pPr>
            <w:r>
              <w:rPr>
                <w:rFonts w:hint="eastAsia" w:ascii="仿宋" w:hAnsi="仿宋" w:eastAsia="仿宋" w:cs="仿宋"/>
                <w:b/>
                <w:sz w:val="24"/>
              </w:rPr>
              <w:t>及单位</w:t>
            </w:r>
          </w:p>
        </w:tc>
        <w:tc>
          <w:tcPr>
            <w:tcW w:w="7334" w:type="dxa"/>
            <w:noWrap w:val="0"/>
            <w:vAlign w:val="center"/>
          </w:tcPr>
          <w:p>
            <w:pPr>
              <w:jc w:val="center"/>
              <w:rPr>
                <w:rFonts w:ascii="仿宋" w:hAnsi="仿宋" w:eastAsia="仿宋" w:cs="仿宋"/>
                <w:b/>
                <w:bCs/>
                <w:sz w:val="24"/>
              </w:rPr>
            </w:pPr>
            <w:r>
              <w:rPr>
                <w:rFonts w:hint="eastAsia" w:ascii="仿宋" w:hAnsi="仿宋" w:eastAsia="仿宋" w:cs="仿宋"/>
                <w:b/>
                <w:sz w:val="24"/>
              </w:rPr>
              <w:t>功能目标及技术指标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646" w:type="dxa"/>
            <w:noWrap w:val="0"/>
            <w:vAlign w:val="center"/>
          </w:tcPr>
          <w:p>
            <w:pPr>
              <w:widowControl/>
              <w:jc w:val="center"/>
              <w:rPr>
                <w:rFonts w:ascii="仿宋" w:hAnsi="仿宋" w:eastAsia="仿宋" w:cs="仿宋"/>
                <w:sz w:val="24"/>
              </w:rPr>
            </w:pPr>
            <w:r>
              <w:rPr>
                <w:rFonts w:hint="eastAsia" w:ascii="仿宋" w:hAnsi="仿宋" w:eastAsia="仿宋" w:cs="仿宋"/>
                <w:sz w:val="24"/>
              </w:rPr>
              <w:t>1</w:t>
            </w:r>
          </w:p>
        </w:tc>
        <w:tc>
          <w:tcPr>
            <w:tcW w:w="926" w:type="dxa"/>
            <w:noWrap w:val="0"/>
            <w:vAlign w:val="center"/>
          </w:tcPr>
          <w:p>
            <w:pPr>
              <w:adjustRightInd w:val="0"/>
              <w:jc w:val="center"/>
              <w:rPr>
                <w:rFonts w:ascii="仿宋" w:hAnsi="仿宋" w:eastAsia="仿宋" w:cs="仿宋"/>
                <w:sz w:val="24"/>
              </w:rPr>
            </w:pPr>
            <w:r>
              <w:rPr>
                <w:rFonts w:hint="eastAsia" w:ascii="仿宋" w:hAnsi="仿宋" w:eastAsia="仿宋" w:cs="仿宋"/>
                <w:sz w:val="24"/>
              </w:rPr>
              <w:t>一级花生油</w:t>
            </w:r>
          </w:p>
        </w:tc>
        <w:tc>
          <w:tcPr>
            <w:tcW w:w="1114" w:type="dxa"/>
            <w:noWrap w:val="0"/>
            <w:vAlign w:val="center"/>
          </w:tcPr>
          <w:p>
            <w:pPr>
              <w:jc w:val="center"/>
              <w:rPr>
                <w:rFonts w:ascii="仿宋" w:hAnsi="仿宋" w:eastAsia="仿宋" w:cs="仿宋"/>
                <w:sz w:val="24"/>
              </w:rPr>
            </w:pPr>
            <w:r>
              <w:rPr>
                <w:rFonts w:hint="eastAsia" w:ascii="仿宋" w:hAnsi="仿宋" w:eastAsia="仿宋" w:cs="仿宋"/>
                <w:sz w:val="24"/>
              </w:rPr>
              <w:t>1瓶</w:t>
            </w:r>
          </w:p>
        </w:tc>
        <w:tc>
          <w:tcPr>
            <w:tcW w:w="7334" w:type="dxa"/>
            <w:noWrap w:val="0"/>
            <w:vAlign w:val="center"/>
          </w:tcPr>
          <w:p>
            <w:pPr>
              <w:widowControl/>
              <w:adjustRightInd w:val="0"/>
              <w:snapToGrid w:val="0"/>
              <w:jc w:val="left"/>
              <w:textAlignment w:val="center"/>
              <w:rPr>
                <w:rFonts w:ascii="仿宋" w:hAnsi="仿宋" w:eastAsia="仿宋" w:cs="仿宋"/>
                <w:b/>
                <w:bCs/>
                <w:sz w:val="24"/>
              </w:rPr>
            </w:pPr>
            <w:r>
              <w:rPr>
                <w:rFonts w:hint="eastAsia" w:ascii="仿宋" w:hAnsi="仿宋" w:eastAsia="仿宋" w:cs="仿宋"/>
                <w:b/>
                <w:bCs/>
                <w:sz w:val="24"/>
              </w:rPr>
              <w:t>参考品牌：胡姬花古法小榨花生油、鲁花或同等档次以上</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★1.压榨一级花生油，符合GB/T 1534-2017花生油国家标准</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2.规格或净含量：5L/瓶</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★3.质量等级：一级</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4.加工工艺：压榨</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5.原料原产国：中国</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6.产品要求为供货前2个月内生产。</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7.外包装要求：包装袋密封性能好，油品清明透亮，无沉淀物和凝结物，基本没有气泡产生，标明规格/净含量、等级、配料/配料表、产地、生产日期、保质期、SC认证标志、生产许可证编号等相关信息。</w:t>
            </w:r>
          </w:p>
          <w:p>
            <w:pPr>
              <w:widowControl/>
              <w:adjustRightInd w:val="0"/>
              <w:snapToGrid w:val="0"/>
              <w:jc w:val="left"/>
              <w:textAlignment w:val="center"/>
              <w:rPr>
                <w:rFonts w:ascii="仿宋" w:hAnsi="仿宋" w:eastAsia="仿宋" w:cs="仿宋"/>
                <w:sz w:val="24"/>
              </w:rPr>
            </w:pPr>
            <w:r>
              <w:rPr>
                <w:rFonts w:hint="eastAsia" w:ascii="仿宋" w:hAnsi="仿宋" w:eastAsia="仿宋" w:cs="仿宋"/>
                <w:sz w:val="24"/>
              </w:rPr>
              <w:t>8.保质期：自生产出厂之日12个月(含)以上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646" w:type="dxa"/>
            <w:noWrap w:val="0"/>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26" w:type="dxa"/>
            <w:noWrap w:val="0"/>
            <w:vAlign w:val="center"/>
          </w:tcPr>
          <w:p>
            <w:pPr>
              <w:adjustRightIn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茶油</w:t>
            </w:r>
          </w:p>
        </w:tc>
        <w:tc>
          <w:tcPr>
            <w:tcW w:w="1114"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1瓶</w:t>
            </w:r>
          </w:p>
        </w:tc>
        <w:tc>
          <w:tcPr>
            <w:tcW w:w="7334" w:type="dxa"/>
            <w:noWrap w:val="0"/>
            <w:vAlign w:val="center"/>
          </w:tcPr>
          <w:p>
            <w:pPr>
              <w:widowControl/>
              <w:adjustRightInd w:val="0"/>
              <w:snapToGrid w:val="0"/>
              <w:jc w:val="left"/>
              <w:textAlignment w:val="center"/>
              <w:rPr>
                <w:rFonts w:ascii="仿宋" w:hAnsi="仿宋" w:eastAsia="仿宋" w:cs="仿宋"/>
                <w:b/>
                <w:bCs/>
                <w:sz w:val="24"/>
              </w:rPr>
            </w:pPr>
            <w:r>
              <w:rPr>
                <w:rFonts w:hint="eastAsia" w:ascii="仿宋" w:hAnsi="仿宋" w:eastAsia="仿宋" w:cs="仿宋"/>
                <w:b/>
                <w:bCs/>
                <w:sz w:val="24"/>
              </w:rPr>
              <w:t>参考</w:t>
            </w:r>
            <w:r>
              <w:rPr>
                <w:rFonts w:hint="eastAsia" w:ascii="仿宋" w:hAnsi="仿宋" w:eastAsia="仿宋" w:cs="仿宋"/>
                <w:b/>
                <w:bCs/>
                <w:sz w:val="24"/>
                <w:lang w:val="en-US" w:eastAsia="zh-CN"/>
              </w:rPr>
              <w:t>类别</w:t>
            </w:r>
            <w:r>
              <w:rPr>
                <w:rFonts w:hint="eastAsia" w:ascii="仿宋" w:hAnsi="仿宋" w:eastAsia="仿宋" w:cs="仿宋"/>
                <w:b/>
                <w:bCs/>
                <w:sz w:val="24"/>
              </w:rPr>
              <w:t>：</w:t>
            </w:r>
            <w:r>
              <w:rPr>
                <w:rFonts w:hint="eastAsia" w:ascii="仿宋" w:hAnsi="仿宋" w:eastAsia="仿宋" w:cs="仿宋"/>
                <w:b/>
                <w:bCs/>
                <w:sz w:val="24"/>
                <w:lang w:val="en-US" w:eastAsia="zh-CN"/>
              </w:rPr>
              <w:t>三江山茶油</w:t>
            </w:r>
            <w:r>
              <w:rPr>
                <w:rFonts w:hint="eastAsia" w:ascii="仿宋" w:hAnsi="仿宋" w:eastAsia="仿宋" w:cs="仿宋"/>
                <w:b/>
                <w:bCs/>
                <w:sz w:val="24"/>
              </w:rPr>
              <w:t>或同等档次以上</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1.符合</w:t>
            </w:r>
            <w:r>
              <w:rPr>
                <w:rFonts w:hint="eastAsia" w:ascii="仿宋" w:hAnsi="仿宋" w:eastAsia="仿宋" w:cs="仿宋"/>
                <w:bCs/>
                <w:sz w:val="24"/>
                <w:lang w:val="en-US" w:eastAsia="zh-CN"/>
              </w:rPr>
              <w:t>山茶</w:t>
            </w:r>
            <w:r>
              <w:rPr>
                <w:rFonts w:hint="eastAsia" w:ascii="仿宋" w:hAnsi="仿宋" w:eastAsia="仿宋" w:cs="仿宋"/>
                <w:bCs/>
                <w:sz w:val="24"/>
              </w:rPr>
              <w:t>油国家标准</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2.规格或净含量：</w:t>
            </w:r>
            <w:r>
              <w:rPr>
                <w:rFonts w:hint="eastAsia" w:ascii="仿宋" w:hAnsi="仿宋" w:eastAsia="仿宋" w:cs="仿宋"/>
                <w:bCs/>
                <w:sz w:val="24"/>
                <w:lang w:val="en-US" w:eastAsia="zh-CN"/>
              </w:rPr>
              <w:t>500ml</w:t>
            </w:r>
            <w:r>
              <w:rPr>
                <w:rFonts w:hint="eastAsia" w:ascii="仿宋" w:hAnsi="仿宋" w:eastAsia="仿宋" w:cs="仿宋"/>
                <w:bCs/>
                <w:sz w:val="24"/>
              </w:rPr>
              <w:t>/瓶</w:t>
            </w:r>
          </w:p>
          <w:p>
            <w:pPr>
              <w:widowControl/>
              <w:adjustRightInd w:val="0"/>
              <w:snapToGrid w:val="0"/>
              <w:jc w:val="left"/>
              <w:textAlignment w:val="center"/>
              <w:rPr>
                <w:rFonts w:hint="default" w:ascii="仿宋" w:hAnsi="仿宋" w:eastAsia="仿宋" w:cs="仿宋"/>
                <w:bCs/>
                <w:sz w:val="24"/>
                <w:lang w:val="en-US" w:eastAsia="zh-CN"/>
              </w:rPr>
            </w:pPr>
            <w:r>
              <w:rPr>
                <w:rFonts w:hint="eastAsia" w:ascii="仿宋" w:hAnsi="仿宋" w:eastAsia="仿宋" w:cs="仿宋"/>
                <w:bCs/>
                <w:sz w:val="24"/>
              </w:rPr>
              <w:t>3.质量等级：</w:t>
            </w:r>
            <w:r>
              <w:rPr>
                <w:rFonts w:hint="eastAsia" w:ascii="仿宋" w:hAnsi="仿宋" w:eastAsia="仿宋" w:cs="仿宋"/>
                <w:bCs/>
                <w:sz w:val="24"/>
                <w:lang w:val="en-US" w:eastAsia="zh-CN"/>
              </w:rPr>
              <w:t>二</w:t>
            </w:r>
            <w:r>
              <w:rPr>
                <w:rFonts w:hint="eastAsia" w:ascii="仿宋" w:hAnsi="仿宋" w:eastAsia="仿宋" w:cs="仿宋"/>
                <w:bCs/>
                <w:sz w:val="24"/>
              </w:rPr>
              <w:t>级</w:t>
            </w:r>
            <w:r>
              <w:rPr>
                <w:rFonts w:hint="eastAsia" w:ascii="仿宋" w:hAnsi="仿宋" w:eastAsia="仿宋" w:cs="仿宋"/>
                <w:bCs/>
                <w:sz w:val="24"/>
                <w:lang w:val="en-US" w:eastAsia="zh-CN"/>
              </w:rPr>
              <w:t>及以上</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4.加工工艺：</w:t>
            </w:r>
            <w:r>
              <w:rPr>
                <w:rFonts w:hint="eastAsia" w:ascii="仿宋" w:hAnsi="仿宋" w:eastAsia="仿宋" w:cs="仿宋"/>
                <w:bCs/>
                <w:sz w:val="24"/>
                <w:lang w:val="en-US" w:eastAsia="zh-CN"/>
              </w:rPr>
              <w:t>热</w:t>
            </w:r>
            <w:r>
              <w:rPr>
                <w:rFonts w:hint="eastAsia" w:ascii="仿宋" w:hAnsi="仿宋" w:eastAsia="仿宋" w:cs="仿宋"/>
                <w:bCs/>
                <w:sz w:val="24"/>
              </w:rPr>
              <w:t>榨</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5.原料原产国：中国</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6.产品要求为供货前2个月内生产。</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7.外包装要求：包装袋密封性能好，油品清明透亮，无沉淀物和凝结物，基本没有气泡产生，标明规格/净含量、等级、配料/配料表、产地、生产日期、保质期、生产许可证编号等相关信息。</w:t>
            </w:r>
          </w:p>
          <w:p>
            <w:pPr>
              <w:widowControl/>
              <w:adjustRightInd w:val="0"/>
              <w:snapToGrid w:val="0"/>
              <w:jc w:val="left"/>
              <w:textAlignment w:val="center"/>
              <w:rPr>
                <w:rFonts w:hint="eastAsia" w:ascii="仿宋" w:hAnsi="仿宋" w:eastAsia="仿宋" w:cs="仿宋"/>
                <w:sz w:val="24"/>
              </w:rPr>
            </w:pPr>
            <w:r>
              <w:rPr>
                <w:rFonts w:hint="eastAsia" w:ascii="仿宋" w:hAnsi="仿宋" w:eastAsia="仿宋" w:cs="仿宋"/>
                <w:sz w:val="24"/>
              </w:rPr>
              <w:t>8.保质期：自生产出厂之日12个月(含)以上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646" w:type="dxa"/>
            <w:noWrap w:val="0"/>
            <w:vAlign w:val="center"/>
          </w:tcPr>
          <w:p>
            <w:pPr>
              <w:widowControl/>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92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大米</w:t>
            </w:r>
          </w:p>
        </w:tc>
        <w:tc>
          <w:tcPr>
            <w:tcW w:w="1114" w:type="dxa"/>
            <w:noWrap w:val="0"/>
            <w:vAlign w:val="center"/>
          </w:tcPr>
          <w:p>
            <w:pPr>
              <w:jc w:val="center"/>
              <w:rPr>
                <w:rFonts w:ascii="仿宋" w:hAnsi="仿宋" w:eastAsia="仿宋" w:cs="仿宋"/>
                <w:sz w:val="24"/>
              </w:rPr>
            </w:pPr>
            <w:r>
              <w:rPr>
                <w:rFonts w:hint="eastAsia" w:ascii="仿宋" w:hAnsi="仿宋" w:eastAsia="仿宋" w:cs="仿宋"/>
                <w:sz w:val="24"/>
              </w:rPr>
              <w:t>1袋</w:t>
            </w:r>
          </w:p>
        </w:tc>
        <w:tc>
          <w:tcPr>
            <w:tcW w:w="7334" w:type="dxa"/>
            <w:noWrap w:val="0"/>
            <w:vAlign w:val="center"/>
          </w:tcPr>
          <w:p>
            <w:pPr>
              <w:widowControl/>
              <w:adjustRightInd w:val="0"/>
              <w:snapToGrid w:val="0"/>
              <w:jc w:val="left"/>
              <w:textAlignment w:val="center"/>
              <w:rPr>
                <w:rFonts w:ascii="仿宋" w:hAnsi="仿宋" w:eastAsia="仿宋" w:cs="仿宋"/>
                <w:b/>
                <w:bCs/>
                <w:sz w:val="24"/>
              </w:rPr>
            </w:pPr>
            <w:r>
              <w:rPr>
                <w:rFonts w:hint="eastAsia" w:ascii="仿宋" w:hAnsi="仿宋" w:eastAsia="仿宋" w:cs="仿宋"/>
                <w:b/>
                <w:bCs/>
                <w:sz w:val="24"/>
              </w:rPr>
              <w:t>参考品牌：金龙鱼珍香小农粘、大富士美香粘米、绿天香泰国香米或同等档次以上</w:t>
            </w:r>
          </w:p>
          <w:p>
            <w:pPr>
              <w:widowControl/>
              <w:adjustRightInd w:val="0"/>
              <w:snapToGrid w:val="0"/>
              <w:textAlignment w:val="center"/>
              <w:rPr>
                <w:rFonts w:ascii="仿宋" w:hAnsi="仿宋" w:eastAsia="仿宋" w:cs="仿宋"/>
                <w:bCs/>
                <w:sz w:val="24"/>
              </w:rPr>
            </w:pPr>
            <w:r>
              <w:rPr>
                <w:rFonts w:hint="eastAsia" w:ascii="仿宋" w:hAnsi="仿宋" w:eastAsia="仿宋" w:cs="仿宋"/>
                <w:bCs/>
                <w:sz w:val="24"/>
              </w:rPr>
              <w:t>★1.一级大米，5KG/袋</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2.符合GB1354-2018标准要求，无霉变，无掺杂、无黄粒米、无沙石等异物、</w:t>
            </w:r>
            <w:r>
              <w:rPr>
                <w:rFonts w:hint="eastAsia" w:ascii="仿宋" w:hAnsi="仿宋" w:eastAsia="仿宋" w:cs="仿宋"/>
                <w:sz w:val="24"/>
              </w:rPr>
              <w:t>无异常色泽和异味</w:t>
            </w:r>
            <w:r>
              <w:rPr>
                <w:rFonts w:hint="eastAsia" w:ascii="仿宋" w:hAnsi="仿宋" w:eastAsia="仿宋" w:cs="仿宋"/>
                <w:bCs/>
                <w:sz w:val="24"/>
              </w:rPr>
              <w:t>。（投标文件中提供产品质量监督所的检验报告复印件）</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★3.质量等级</w:t>
            </w:r>
            <w:r>
              <w:rPr>
                <w:rFonts w:hint="eastAsia" w:ascii="仿宋" w:hAnsi="仿宋" w:eastAsia="仿宋" w:cs="仿宋"/>
                <w:bCs/>
                <w:sz w:val="24"/>
                <w:lang w:val="en-US" w:eastAsia="zh-CN"/>
              </w:rPr>
              <w:t>一</w:t>
            </w:r>
            <w:r>
              <w:rPr>
                <w:rFonts w:hint="eastAsia" w:ascii="仿宋" w:hAnsi="仿宋" w:eastAsia="仿宋" w:cs="仿宋"/>
                <w:bCs/>
                <w:sz w:val="24"/>
              </w:rPr>
              <w:t>级（含）以上，有SC认证标志</w:t>
            </w:r>
          </w:p>
          <w:p>
            <w:pPr>
              <w:widowControl/>
              <w:adjustRightInd w:val="0"/>
              <w:snapToGrid w:val="0"/>
              <w:jc w:val="left"/>
              <w:textAlignment w:val="center"/>
              <w:rPr>
                <w:rFonts w:ascii="仿宋" w:hAnsi="仿宋" w:eastAsia="仿宋" w:cs="仿宋"/>
                <w:sz w:val="24"/>
              </w:rPr>
            </w:pPr>
            <w:r>
              <w:rPr>
                <w:rFonts w:hint="eastAsia" w:ascii="仿宋" w:hAnsi="仿宋" w:eastAsia="仿宋" w:cs="仿宋"/>
                <w:bCs/>
                <w:sz w:val="24"/>
              </w:rPr>
              <w:t>4.</w:t>
            </w:r>
            <w:r>
              <w:rPr>
                <w:rFonts w:hint="eastAsia" w:ascii="仿宋" w:hAnsi="仿宋" w:eastAsia="仿宋" w:cs="仿宋"/>
                <w:sz w:val="24"/>
              </w:rPr>
              <w:t>预包装食品标签符合GB 7718-2011标准</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sz w:val="24"/>
              </w:rPr>
              <w:t>5.</w:t>
            </w:r>
            <w:r>
              <w:rPr>
                <w:rFonts w:hint="eastAsia" w:ascii="仿宋" w:hAnsi="仿宋" w:eastAsia="仿宋" w:cs="仿宋"/>
                <w:bCs/>
                <w:sz w:val="24"/>
              </w:rPr>
              <w:t>产品要求为供货前2个月内生产。</w:t>
            </w:r>
          </w:p>
          <w:p>
            <w:pPr>
              <w:widowControl/>
              <w:adjustRightInd w:val="0"/>
              <w:snapToGrid w:val="0"/>
              <w:jc w:val="left"/>
              <w:textAlignment w:val="center"/>
              <w:rPr>
                <w:rFonts w:ascii="仿宋" w:hAnsi="仿宋" w:eastAsia="仿宋" w:cs="仿宋"/>
                <w:bCs/>
                <w:sz w:val="24"/>
              </w:rPr>
            </w:pPr>
            <w:r>
              <w:rPr>
                <w:rFonts w:hint="eastAsia" w:ascii="仿宋" w:hAnsi="仿宋" w:eastAsia="仿宋" w:cs="仿宋"/>
                <w:bCs/>
                <w:sz w:val="24"/>
              </w:rPr>
              <w:t>6.保质期：</w:t>
            </w:r>
            <w:r>
              <w:rPr>
                <w:rFonts w:hint="eastAsia" w:ascii="仿宋" w:hAnsi="仿宋" w:eastAsia="仿宋" w:cs="仿宋"/>
                <w:sz w:val="24"/>
              </w:rPr>
              <w:t>自生产出厂之日12个月(含)以上</w:t>
            </w:r>
            <w:r>
              <w:rPr>
                <w:rFonts w:hint="eastAsia" w:ascii="仿宋" w:hAnsi="仿宋" w:eastAsia="仿宋" w:cs="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926"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小米</w:t>
            </w:r>
          </w:p>
        </w:tc>
        <w:tc>
          <w:tcPr>
            <w:tcW w:w="1114"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34"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11766标准要求，无霉变，无掺杂、无黄粒米、无沙石等异物、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926" w:type="dxa"/>
            <w:noWrap w:val="0"/>
            <w:vAlign w:val="center"/>
          </w:tcPr>
          <w:p>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红米</w:t>
            </w:r>
          </w:p>
        </w:tc>
        <w:tc>
          <w:tcPr>
            <w:tcW w:w="1114"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34" w:type="dxa"/>
            <w:noWrap w:val="0"/>
            <w:vAlign w:val="center"/>
          </w:tcPr>
          <w:p>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GB 2715标准要求，无霉变，无掺杂、无黄粒米、无沙石等异物、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926" w:type="dxa"/>
            <w:noWrap w:val="0"/>
            <w:vAlign w:val="center"/>
          </w:tcPr>
          <w:p>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面条</w:t>
            </w:r>
          </w:p>
        </w:tc>
        <w:tc>
          <w:tcPr>
            <w:tcW w:w="1114" w:type="dxa"/>
            <w:noWrap w:val="0"/>
            <w:vAlign w:val="center"/>
          </w:tcPr>
          <w:p>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7334"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参考</w:t>
            </w:r>
            <w:r>
              <w:rPr>
                <w:rFonts w:hint="eastAsia" w:ascii="仿宋" w:hAnsi="仿宋" w:eastAsia="仿宋" w:cs="仿宋"/>
                <w:b/>
                <w:bCs/>
                <w:sz w:val="24"/>
                <w:highlight w:val="none"/>
                <w:lang w:val="en-US" w:eastAsia="zh-CN"/>
              </w:rPr>
              <w:t>类别：荞麦面、淮山面、杂粮面等</w:t>
            </w:r>
            <w:r>
              <w:rPr>
                <w:rFonts w:hint="eastAsia" w:ascii="仿宋" w:hAnsi="仿宋" w:eastAsia="仿宋" w:cs="仿宋"/>
                <w:b/>
                <w:bCs w:val="0"/>
                <w:sz w:val="24"/>
                <w:highlight w:val="none"/>
                <w:lang w:val="en-US" w:eastAsia="zh-CN"/>
              </w:rPr>
              <w:t>干制粉类</w:t>
            </w:r>
          </w:p>
          <w:p>
            <w:pPr>
              <w:widowControl/>
              <w:numPr>
                <w:ilvl w:val="0"/>
                <w:numId w:val="3"/>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numPr>
                <w:ilvl w:val="0"/>
                <w:numId w:val="3"/>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个</w:t>
            </w:r>
            <w:r>
              <w:rPr>
                <w:rFonts w:ascii="仿宋" w:hAnsi="仿宋" w:eastAsia="仿宋" w:cs="仿宋"/>
                <w:bCs/>
                <w:sz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926" w:type="dxa"/>
            <w:noWrap w:val="0"/>
            <w:vAlign w:val="center"/>
          </w:tcPr>
          <w:p>
            <w:pPr>
              <w:adjustRightInd w:val="0"/>
              <w:snapToGrid w:val="0"/>
              <w:jc w:val="center"/>
              <w:textAlignment w:val="center"/>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红薯粉</w:t>
            </w:r>
          </w:p>
        </w:tc>
        <w:tc>
          <w:tcPr>
            <w:tcW w:w="1114" w:type="dxa"/>
            <w:noWrap w:val="0"/>
            <w:vAlign w:val="center"/>
          </w:tcPr>
          <w:p>
            <w:pPr>
              <w:adjustRightInd w:val="0"/>
              <w:snapToGrid w:val="0"/>
              <w:jc w:val="center"/>
              <w:textAlignment w:val="center"/>
              <w:rPr>
                <w:rFonts w:hint="eastAsia" w:ascii="仿宋" w:hAnsi="仿宋" w:eastAsia="仿宋" w:cs="仿宋"/>
                <w:sz w:val="24"/>
                <w:highlight w:val="yellow"/>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7334"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pPr>
              <w:widowControl/>
              <w:adjustRightInd w:val="0"/>
              <w:snapToGrid w:val="0"/>
              <w:jc w:val="left"/>
              <w:textAlignment w:val="center"/>
              <w:rPr>
                <w:rFonts w:hint="eastAsia" w:ascii="仿宋" w:hAnsi="仿宋" w:eastAsia="仿宋" w:cs="仿宋"/>
                <w:bCs/>
                <w:sz w:val="24"/>
                <w:highlight w:val="yellow"/>
                <w:lang w:val="en-US" w:eastAsia="zh-CN"/>
              </w:rPr>
            </w:pPr>
            <w:r>
              <w:rPr>
                <w:rFonts w:hint="eastAsia" w:ascii="仿宋" w:hAnsi="仿宋" w:eastAsia="仿宋" w:cs="仿宋"/>
                <w:bCs/>
                <w:sz w:val="24"/>
                <w:highlight w:val="none"/>
                <w:lang w:val="en-US" w:eastAsia="zh-CN"/>
              </w:rPr>
              <w:t>4.保质期:6个月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926"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香菇</w:t>
            </w:r>
          </w:p>
        </w:tc>
        <w:tc>
          <w:tcPr>
            <w:tcW w:w="1114"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34" w:type="dxa"/>
            <w:noWrap w:val="0"/>
            <w:vAlign w:val="center"/>
          </w:tcPr>
          <w:p>
            <w:pPr>
              <w:widowControl/>
              <w:numPr>
                <w:ilvl w:val="0"/>
                <w:numId w:val="4"/>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规格：香菇250g/包</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质量等级：干香菇等级二级及以上品质，干木耳一级及以上品质</w:t>
            </w:r>
          </w:p>
          <w:p>
            <w:pPr>
              <w:widowControl/>
              <w:numPr>
                <w:ilvl w:val="0"/>
                <w:numId w:val="0"/>
              </w:numPr>
              <w:adjustRightInd w:val="0"/>
              <w:snapToGrid w:val="0"/>
              <w:ind w:left="0" w:leftChars="0" w:firstLine="0" w:firstLineChars="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926"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木耳</w:t>
            </w:r>
          </w:p>
        </w:tc>
        <w:tc>
          <w:tcPr>
            <w:tcW w:w="1114"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1包</w:t>
            </w:r>
          </w:p>
        </w:tc>
        <w:tc>
          <w:tcPr>
            <w:tcW w:w="7334" w:type="dxa"/>
            <w:noWrap w:val="0"/>
            <w:vAlign w:val="center"/>
          </w:tcPr>
          <w:p>
            <w:pPr>
              <w:widowControl/>
              <w:numPr>
                <w:ilvl w:val="0"/>
                <w:numId w:val="4"/>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lang w:val="en-US" w:eastAsia="zh-CN"/>
              </w:rPr>
              <w:t>规格：木耳250g/包</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rPr>
              <w:t>样品状态：包装完好 封签完好</w:t>
            </w:r>
          </w:p>
          <w:p>
            <w:pPr>
              <w:widowControl/>
              <w:numPr>
                <w:ilvl w:val="0"/>
                <w:numId w:val="4"/>
              </w:numPr>
              <w:adjustRightInd w:val="0"/>
              <w:snapToGrid w:val="0"/>
              <w:jc w:val="left"/>
              <w:textAlignment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质量等级：干木耳</w:t>
            </w:r>
            <w:r>
              <w:rPr>
                <w:rFonts w:hint="eastAsia" w:ascii="仿宋" w:hAnsi="仿宋" w:eastAsia="仿宋" w:cs="仿宋"/>
                <w:bCs/>
                <w:color w:val="C00000"/>
                <w:sz w:val="24"/>
                <w:highlight w:val="none"/>
                <w:lang w:val="en-US" w:eastAsia="zh-CN"/>
              </w:rPr>
              <w:t>一</w:t>
            </w:r>
            <w:r>
              <w:rPr>
                <w:rFonts w:hint="eastAsia" w:ascii="仿宋" w:hAnsi="仿宋" w:eastAsia="仿宋" w:cs="仿宋"/>
                <w:bCs/>
                <w:sz w:val="24"/>
                <w:highlight w:val="none"/>
                <w:lang w:val="en-US" w:eastAsia="zh-CN"/>
              </w:rPr>
              <w:t>级及以上品质</w:t>
            </w:r>
          </w:p>
          <w:p>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质保期：6个月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926" w:type="dxa"/>
            <w:noWrap w:val="0"/>
            <w:vAlign w:val="center"/>
          </w:tcPr>
          <w:p>
            <w:pPr>
              <w:adjustRightInd w:val="0"/>
              <w:snapToGrid w:val="0"/>
              <w:jc w:val="center"/>
              <w:rPr>
                <w:rFonts w:hint="default" w:ascii="仿宋" w:hAnsi="仿宋" w:eastAsia="仿宋" w:cs="仿宋"/>
                <w:b w:val="0"/>
                <w:bCs w:val="0"/>
                <w:sz w:val="24"/>
                <w:highlight w:val="yellow"/>
                <w:lang w:val="en-US" w:eastAsia="zh-CN"/>
              </w:rPr>
            </w:pPr>
            <w:r>
              <w:rPr>
                <w:rFonts w:hint="eastAsia" w:ascii="仿宋" w:hAnsi="仿宋" w:eastAsia="仿宋" w:cs="仿宋"/>
                <w:b w:val="0"/>
                <w:bCs w:val="0"/>
                <w:sz w:val="24"/>
                <w:highlight w:val="none"/>
                <w:lang w:val="en-US" w:eastAsia="zh-CN"/>
              </w:rPr>
              <w:t>笋干</w:t>
            </w:r>
          </w:p>
        </w:tc>
        <w:tc>
          <w:tcPr>
            <w:tcW w:w="1114" w:type="dxa"/>
            <w:noWrap w:val="0"/>
            <w:vAlign w:val="center"/>
          </w:tcPr>
          <w:p>
            <w:pPr>
              <w:jc w:val="center"/>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1包</w:t>
            </w:r>
          </w:p>
        </w:tc>
        <w:tc>
          <w:tcPr>
            <w:tcW w:w="7334"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250g/包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3.质量等级：一级及以上品质</w:t>
            </w:r>
          </w:p>
          <w:p>
            <w:pPr>
              <w:widowControl/>
              <w:adjustRightInd w:val="0"/>
              <w:snapToGrid w:val="0"/>
              <w:jc w:val="left"/>
              <w:textAlignment w:val="center"/>
              <w:rPr>
                <w:rFonts w:hint="default" w:ascii="仿宋" w:hAnsi="仿宋" w:eastAsia="仿宋" w:cs="仿宋"/>
                <w:bCs/>
                <w:sz w:val="24"/>
                <w:highlight w:val="yellow"/>
                <w:lang w:val="en-US" w:eastAsia="zh-CN"/>
              </w:rPr>
            </w:pPr>
            <w:r>
              <w:rPr>
                <w:rFonts w:hint="default" w:ascii="仿宋" w:hAnsi="仿宋" w:eastAsia="仿宋" w:cs="仿宋"/>
                <w:bCs/>
                <w:sz w:val="24"/>
                <w:highlight w:val="none"/>
                <w:lang w:val="en-US" w:eastAsia="zh-CN"/>
              </w:rPr>
              <w:t>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noWrap w:val="0"/>
            <w:vAlign w:val="center"/>
          </w:tcPr>
          <w:p>
            <w:pPr>
              <w:widowControl/>
              <w:tabs>
                <w:tab w:val="left" w:pos="350"/>
              </w:tabs>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926" w:type="dxa"/>
            <w:noWrap w:val="0"/>
            <w:vAlign w:val="center"/>
          </w:tcPr>
          <w:p>
            <w:pPr>
              <w:adjustRightInd w:val="0"/>
              <w:snapToGrid w:val="0"/>
              <w:jc w:val="center"/>
              <w:rPr>
                <w:rFonts w:hint="default" w:ascii="仿宋" w:hAnsi="仿宋" w:eastAsia="仿宋" w:cs="仿宋"/>
                <w:b w:val="0"/>
                <w:bCs w:val="0"/>
                <w:sz w:val="24"/>
                <w:highlight w:val="yellow"/>
                <w:lang w:val="en-US" w:eastAsia="zh-CN"/>
              </w:rPr>
            </w:pPr>
            <w:r>
              <w:rPr>
                <w:rFonts w:hint="eastAsia" w:ascii="仿宋" w:hAnsi="仿宋" w:eastAsia="仿宋" w:cs="仿宋"/>
                <w:b w:val="0"/>
                <w:bCs w:val="0"/>
                <w:sz w:val="24"/>
                <w:highlight w:val="none"/>
                <w:lang w:val="en-US" w:eastAsia="zh-CN"/>
              </w:rPr>
              <w:t>竹荪</w:t>
            </w:r>
          </w:p>
        </w:tc>
        <w:tc>
          <w:tcPr>
            <w:tcW w:w="1114" w:type="dxa"/>
            <w:noWrap w:val="0"/>
            <w:vAlign w:val="center"/>
          </w:tcPr>
          <w:p>
            <w:pPr>
              <w:jc w:val="center"/>
              <w:rPr>
                <w:rFonts w:hint="eastAsia" w:ascii="仿宋" w:hAnsi="仿宋" w:eastAsia="仿宋" w:cs="仿宋"/>
                <w:sz w:val="24"/>
                <w:highlight w:val="yellow"/>
                <w:lang w:val="en-US" w:eastAsia="zh-CN"/>
              </w:rPr>
            </w:pPr>
            <w:r>
              <w:rPr>
                <w:rFonts w:hint="eastAsia" w:ascii="仿宋" w:hAnsi="仿宋" w:eastAsia="仿宋" w:cs="仿宋"/>
                <w:sz w:val="24"/>
                <w:highlight w:val="none"/>
                <w:lang w:val="en-US" w:eastAsia="zh-CN"/>
              </w:rPr>
              <w:t>1包</w:t>
            </w:r>
          </w:p>
        </w:tc>
        <w:tc>
          <w:tcPr>
            <w:tcW w:w="7334" w:type="dxa"/>
            <w:noWrap w:val="0"/>
            <w:vAlign w:val="center"/>
          </w:tcPr>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1.规格：</w:t>
            </w:r>
            <w:r>
              <w:rPr>
                <w:rFonts w:hint="eastAsia" w:ascii="仿宋" w:hAnsi="仿宋" w:eastAsia="仿宋" w:cs="仿宋"/>
                <w:bCs/>
                <w:sz w:val="24"/>
                <w:highlight w:val="none"/>
                <w:lang w:val="en-US" w:eastAsia="zh-CN"/>
              </w:rPr>
              <w:t>≥</w:t>
            </w:r>
            <w:r>
              <w:rPr>
                <w:rFonts w:hint="default" w:ascii="仿宋" w:hAnsi="仿宋" w:eastAsia="仿宋" w:cs="仿宋"/>
                <w:bCs/>
                <w:sz w:val="24"/>
                <w:highlight w:val="none"/>
                <w:lang w:val="en-US" w:eastAsia="zh-CN"/>
              </w:rPr>
              <w:t>50g/包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eastAsia" w:ascii="仿宋" w:hAnsi="仿宋" w:eastAsia="仿宋" w:cs="仿宋"/>
                <w:bCs/>
                <w:sz w:val="24"/>
                <w:highlight w:val="yellow"/>
                <w:lang w:val="en-US" w:eastAsia="zh-CN"/>
              </w:rPr>
            </w:pPr>
            <w:r>
              <w:rPr>
                <w:rFonts w:hint="default" w:ascii="仿宋" w:hAnsi="仿宋" w:eastAsia="仿宋" w:cs="仿宋"/>
                <w:bCs/>
                <w:sz w:val="24"/>
                <w:highlight w:val="none"/>
                <w:lang w:val="en-US" w:eastAsia="zh-CN"/>
              </w:rPr>
              <w:t>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noWrap w:val="0"/>
            <w:vAlign w:val="center"/>
          </w:tcPr>
          <w:p>
            <w:pPr>
              <w:widowControl/>
              <w:tabs>
                <w:tab w:val="left" w:pos="350"/>
              </w:tabs>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926" w:type="dxa"/>
            <w:noWrap w:val="0"/>
            <w:vAlign w:val="center"/>
          </w:tcPr>
          <w:p>
            <w:pPr>
              <w:adjustRightInd w:val="0"/>
              <w:snapToGrid w:val="0"/>
              <w:jc w:val="center"/>
              <w:rPr>
                <w:rFonts w:hint="default" w:ascii="仿宋" w:hAnsi="仿宋" w:eastAsia="仿宋" w:cs="仿宋"/>
                <w:b w:val="0"/>
                <w:bCs w:val="0"/>
                <w:sz w:val="24"/>
                <w:highlight w:val="yellow"/>
                <w:lang w:val="en-US" w:eastAsia="zh-CN"/>
              </w:rPr>
            </w:pPr>
            <w:r>
              <w:rPr>
                <w:rFonts w:hint="eastAsia" w:ascii="仿宋" w:hAnsi="仿宋" w:eastAsia="仿宋" w:cs="仿宋"/>
                <w:b w:val="0"/>
                <w:bCs w:val="0"/>
                <w:sz w:val="24"/>
                <w:highlight w:val="none"/>
                <w:lang w:val="en-US" w:eastAsia="zh-CN"/>
              </w:rPr>
              <w:t>罗汉果</w:t>
            </w:r>
          </w:p>
        </w:tc>
        <w:tc>
          <w:tcPr>
            <w:tcW w:w="1114" w:type="dxa"/>
            <w:noWrap w:val="0"/>
            <w:vAlign w:val="center"/>
          </w:tcPr>
          <w:p>
            <w:pPr>
              <w:jc w:val="center"/>
              <w:rPr>
                <w:rFonts w:hint="eastAsia" w:ascii="仿宋" w:hAnsi="仿宋" w:eastAsia="仿宋" w:cs="仿宋"/>
                <w:sz w:val="24"/>
                <w:highlight w:val="yellow"/>
              </w:rPr>
            </w:pPr>
            <w:r>
              <w:rPr>
                <w:rFonts w:hint="eastAsia" w:ascii="仿宋" w:hAnsi="仿宋" w:eastAsia="仿宋" w:cs="仿宋"/>
                <w:sz w:val="24"/>
                <w:highlight w:val="none"/>
                <w:lang w:val="en-US" w:eastAsia="zh-CN"/>
              </w:rPr>
              <w:t>1个</w:t>
            </w:r>
          </w:p>
        </w:tc>
        <w:tc>
          <w:tcPr>
            <w:tcW w:w="7334" w:type="dxa"/>
            <w:noWrap w:val="0"/>
            <w:vAlign w:val="center"/>
          </w:tcPr>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1.单个单独包装</w:t>
            </w:r>
          </w:p>
          <w:p>
            <w:pPr>
              <w:widowControl/>
              <w:adjustRightInd w:val="0"/>
              <w:snapToGrid w:val="0"/>
              <w:jc w:val="left"/>
              <w:textAlignment w:val="center"/>
              <w:rPr>
                <w:rFonts w:hint="default" w:ascii="仿宋" w:hAnsi="仿宋" w:eastAsia="仿宋" w:cs="仿宋"/>
                <w:bCs/>
                <w:sz w:val="24"/>
                <w:highlight w:val="none"/>
                <w:lang w:val="en-US" w:eastAsia="zh-CN"/>
              </w:rPr>
            </w:pPr>
            <w:r>
              <w:rPr>
                <w:rFonts w:hint="default" w:ascii="仿宋" w:hAnsi="仿宋" w:eastAsia="仿宋" w:cs="仿宋"/>
                <w:bCs/>
                <w:sz w:val="24"/>
                <w:highlight w:val="none"/>
                <w:lang w:val="en-US" w:eastAsia="zh-CN"/>
              </w:rPr>
              <w:t>2.样品状态：包装完好 封签完好</w:t>
            </w:r>
          </w:p>
          <w:p>
            <w:pPr>
              <w:widowControl/>
              <w:adjustRightInd w:val="0"/>
              <w:snapToGrid w:val="0"/>
              <w:jc w:val="left"/>
              <w:textAlignment w:val="center"/>
              <w:rPr>
                <w:rFonts w:hint="eastAsia" w:ascii="仿宋" w:hAnsi="仿宋" w:eastAsia="仿宋" w:cs="仿宋"/>
                <w:bCs/>
                <w:sz w:val="24"/>
                <w:highlight w:val="yellow"/>
                <w:lang w:val="en-US" w:eastAsia="zh-CN"/>
              </w:rPr>
            </w:pPr>
            <w:r>
              <w:rPr>
                <w:rFonts w:hint="default" w:ascii="仿宋" w:hAnsi="仿宋" w:eastAsia="仿宋" w:cs="仿宋"/>
                <w:bCs/>
                <w:sz w:val="24"/>
                <w:highlight w:val="none"/>
                <w:lang w:val="en-US" w:eastAsia="zh-CN"/>
              </w:rPr>
              <w:t>质保期：12个月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926" w:type="dxa"/>
            <w:noWrap w:val="0"/>
            <w:vAlign w:val="center"/>
          </w:tcPr>
          <w:p>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腊肉</w:t>
            </w:r>
          </w:p>
        </w:tc>
        <w:tc>
          <w:tcPr>
            <w:tcW w:w="1114"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7334"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500g/包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noWrap w:val="0"/>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926" w:type="dxa"/>
            <w:noWrap w:val="0"/>
            <w:vAlign w:val="center"/>
          </w:tcPr>
          <w:p>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腊肠</w:t>
            </w:r>
          </w:p>
        </w:tc>
        <w:tc>
          <w:tcPr>
            <w:tcW w:w="1114" w:type="dxa"/>
            <w:noWrap w:val="0"/>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7334" w:type="dxa"/>
            <w:noWrap w:val="0"/>
            <w:vAlign w:val="center"/>
          </w:tcPr>
          <w:p>
            <w:pPr>
              <w:widowControl/>
              <w:adjustRightInd w:val="0"/>
              <w:snapToGrid w:val="0"/>
              <w:jc w:val="left"/>
              <w:textAlignment w:val="center"/>
              <w:rPr>
                <w:rFonts w:hint="default" w:ascii="仿宋" w:hAnsi="仿宋" w:eastAsia="仿宋" w:cs="仿宋"/>
                <w:b/>
                <w:bCs/>
                <w:sz w:val="24"/>
                <w:highlight w:val="none"/>
                <w:lang w:val="en-US" w:eastAsia="zh-CN"/>
              </w:rPr>
            </w:pPr>
            <w:bookmarkStart w:id="0" w:name="OLE_LINK2"/>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≥320g/包</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优质猪五花肉、后腿肉等为原料</w:t>
            </w:r>
          </w:p>
          <w:p>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bookmarkEnd w:id="0"/>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如需详细了解项目需求，请联系</w:t>
      </w:r>
      <w:r>
        <w:rPr>
          <w:rFonts w:hint="eastAsia" w:ascii="仿宋" w:hAnsi="仿宋" w:eastAsia="仿宋" w:cs="仿宋"/>
          <w:b/>
          <w:bCs w:val="0"/>
          <w:color w:val="auto"/>
          <w:sz w:val="28"/>
          <w:szCs w:val="28"/>
          <w:lang w:val="en-US" w:eastAsia="zh-CN"/>
        </w:rPr>
        <w:t>招标办：0772-3832133，</w:t>
      </w:r>
      <w:r>
        <w:rPr>
          <w:rFonts w:hint="eastAsia" w:ascii="仿宋" w:hAnsi="仿宋" w:eastAsia="仿宋" w:cs="仿宋"/>
          <w:b/>
          <w:bCs w:val="0"/>
          <w:color w:val="auto"/>
          <w:sz w:val="28"/>
          <w:szCs w:val="28"/>
        </w:rPr>
        <w:t>总务科：</w:t>
      </w:r>
      <w:r>
        <w:rPr>
          <w:rFonts w:hint="eastAsia" w:ascii="仿宋" w:hAnsi="仿宋" w:eastAsia="仿宋" w:cs="仿宋"/>
          <w:b/>
          <w:bCs w:val="0"/>
          <w:color w:val="auto"/>
          <w:sz w:val="28"/>
          <w:szCs w:val="28"/>
          <w:lang w:val="en-US" w:eastAsia="zh-CN"/>
        </w:rPr>
        <w:t>18077209939</w:t>
      </w:r>
      <w:r>
        <w:rPr>
          <w:rFonts w:hint="eastAsia" w:ascii="仿宋" w:hAnsi="仿宋" w:eastAsia="仿宋" w:cs="仿宋"/>
          <w:b/>
          <w:bCs w:val="0"/>
          <w:color w:val="auto"/>
          <w:sz w:val="28"/>
          <w:szCs w:val="28"/>
          <w:highlight w:val="none"/>
        </w:rPr>
        <w:t xml:space="preserve"> </w:t>
      </w:r>
      <w:r>
        <w:rPr>
          <w:rFonts w:hint="eastAsia" w:ascii="仿宋" w:hAnsi="仿宋" w:eastAsia="仿宋" w:cs="仿宋"/>
          <w:b/>
          <w:bCs w:val="0"/>
          <w:color w:val="auto"/>
          <w:sz w:val="28"/>
          <w:szCs w:val="28"/>
          <w:highlight w:val="none"/>
          <w:lang w:val="en-US" w:eastAsia="zh-CN"/>
        </w:rPr>
        <w:t>樊</w:t>
      </w:r>
      <w:r>
        <w:rPr>
          <w:rFonts w:hint="eastAsia" w:ascii="仿宋" w:hAnsi="仿宋" w:eastAsia="仿宋" w:cs="仿宋"/>
          <w:b/>
          <w:bCs w:val="0"/>
          <w:color w:val="auto"/>
          <w:sz w:val="28"/>
          <w:szCs w:val="28"/>
          <w:highlight w:val="none"/>
        </w:rPr>
        <w:t>女士</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1、该项目不接受联合体投标。</w:t>
      </w:r>
    </w:p>
    <w:p>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2、本次</w:t>
      </w:r>
      <w:r>
        <w:rPr>
          <w:rFonts w:hint="eastAsia" w:ascii="仿宋" w:hAnsi="仿宋" w:eastAsia="仿宋" w:cs="仿宋"/>
          <w:bCs/>
          <w:color w:val="auto"/>
          <w:sz w:val="28"/>
          <w:szCs w:val="28"/>
          <w:lang w:val="en-US" w:eastAsia="zh-CN"/>
        </w:rPr>
        <w:t>项目采购为组合报价，即：由以上14个单品组成价值4</w:t>
      </w:r>
      <w:r>
        <w:rPr>
          <w:rFonts w:hint="eastAsia" w:ascii="仿宋" w:hAnsi="仿宋" w:eastAsia="仿宋" w:cs="仿宋"/>
          <w:bCs/>
          <w:color w:val="auto"/>
          <w:sz w:val="28"/>
          <w:szCs w:val="28"/>
        </w:rPr>
        <w:t>00</w:t>
      </w:r>
      <w:r>
        <w:rPr>
          <w:rFonts w:hint="eastAsia" w:ascii="仿宋" w:hAnsi="仿宋" w:eastAsia="仿宋" w:cs="仿宋"/>
          <w:bCs/>
          <w:color w:val="auto"/>
          <w:sz w:val="28"/>
          <w:szCs w:val="28"/>
          <w:lang w:val="en-US" w:eastAsia="zh-CN"/>
        </w:rPr>
        <w:t>元产品进行报价。离退休职工</w:t>
      </w:r>
      <w:r>
        <w:rPr>
          <w:rFonts w:hint="eastAsia" w:ascii="仿宋" w:hAnsi="仿宋" w:eastAsia="仿宋" w:cs="仿宋"/>
          <w:bCs/>
          <w:color w:val="auto"/>
          <w:sz w:val="28"/>
          <w:szCs w:val="28"/>
        </w:rPr>
        <w:t>现有</w:t>
      </w:r>
      <w:r>
        <w:rPr>
          <w:rFonts w:hint="eastAsia" w:ascii="仿宋" w:hAnsi="仿宋" w:eastAsia="仿宋" w:cs="仿宋"/>
          <w:bCs/>
          <w:color w:val="auto"/>
          <w:sz w:val="28"/>
          <w:szCs w:val="28"/>
          <w:lang w:val="en-US" w:eastAsia="zh-CN"/>
        </w:rPr>
        <w:t>776</w:t>
      </w:r>
      <w:r>
        <w:rPr>
          <w:rFonts w:hint="eastAsia" w:ascii="仿宋" w:hAnsi="仿宋" w:eastAsia="仿宋" w:cs="仿宋"/>
          <w:bCs/>
          <w:color w:val="auto"/>
          <w:sz w:val="28"/>
          <w:szCs w:val="28"/>
        </w:rPr>
        <w:t>人，最终以实际发放人数为准。</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六、供货要求</w:t>
      </w:r>
    </w:p>
    <w:p>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1、为保障本项目供货进度和质量，投标人应根据实际情况制定出完整组织方案、进度计划、配送计划、人员配置及服务保障方法和措施等。</w:t>
      </w:r>
    </w:p>
    <w:p>
      <w:pPr>
        <w:spacing w:line="4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2、供应商根据</w:t>
      </w:r>
      <w:r>
        <w:rPr>
          <w:rFonts w:hint="eastAsia" w:ascii="仿宋" w:hAnsi="仿宋" w:eastAsia="仿宋" w:cs="仿宋"/>
          <w:b w:val="0"/>
          <w:bCs w:val="0"/>
          <w:color w:val="auto"/>
          <w:kern w:val="2"/>
          <w:sz w:val="28"/>
          <w:szCs w:val="28"/>
          <w:lang w:val="en-US" w:eastAsia="zh-CN" w:bidi="ar-SA"/>
        </w:rPr>
        <w:t>离退休办公室</w:t>
      </w:r>
      <w:r>
        <w:rPr>
          <w:rFonts w:hint="eastAsia" w:ascii="仿宋" w:hAnsi="仿宋" w:eastAsia="仿宋" w:cs="仿宋"/>
          <w:color w:val="auto"/>
          <w:sz w:val="28"/>
          <w:szCs w:val="28"/>
        </w:rPr>
        <w:t>要求</w:t>
      </w:r>
      <w:r>
        <w:rPr>
          <w:rFonts w:hint="eastAsia" w:ascii="仿宋" w:hAnsi="仿宋" w:eastAsia="仿宋" w:cs="仿宋"/>
          <w:color w:val="auto"/>
          <w:sz w:val="28"/>
          <w:szCs w:val="28"/>
          <w:lang w:val="en-US" w:eastAsia="zh-CN"/>
        </w:rPr>
        <w:t>配送慰问品至西院、南院对应科室</w:t>
      </w:r>
      <w:r>
        <w:rPr>
          <w:rFonts w:hint="eastAsia" w:ascii="仿宋" w:hAnsi="仿宋" w:eastAsia="仿宋" w:cs="仿宋"/>
          <w:color w:val="auto"/>
          <w:sz w:val="28"/>
          <w:szCs w:val="28"/>
          <w:lang w:eastAsia="zh-CN"/>
        </w:rPr>
        <w:t>。</w:t>
      </w:r>
    </w:p>
    <w:p>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七、报价要求</w:t>
      </w:r>
    </w:p>
    <w:p>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1、报价包含：产品费用、人工费、材料费、装卸车费、运输费、管理费、保险、维护、利润、税金等为完成本项目所需的所有费用，在实施期间不因市场因素而变动。</w:t>
      </w:r>
    </w:p>
    <w:p>
      <w:pPr>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2、标注★号的要求，投标人必须实质性响应，否则投标无效。</w:t>
      </w:r>
    </w:p>
    <w:p>
      <w:pPr>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投标文件中必须提供所投产品外包装清晰正反面图片或网页截图。图片或截图必须能清晰体现该产品的主要技术参数。如提供不全或不按要求提供的，则按如下处理：属于要求实质性响应技术参数的投标无效。其他技术参数在“货物性能”评审时视为负偏离，按评审标准进行扣分。</w:t>
      </w:r>
    </w:p>
    <w:p>
      <w:pPr>
        <w:adjustRightInd w:val="0"/>
        <w:spacing w:line="400" w:lineRule="exac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en-US" w:eastAsia="zh-CN"/>
        </w:rPr>
        <w:t>产品质量及</w:t>
      </w:r>
      <w:r>
        <w:rPr>
          <w:rFonts w:hint="eastAsia" w:ascii="仿宋" w:hAnsi="仿宋" w:eastAsia="仿宋" w:cs="仿宋"/>
          <w:b/>
          <w:color w:val="auto"/>
          <w:sz w:val="28"/>
          <w:szCs w:val="28"/>
        </w:rPr>
        <w:t>售后</w:t>
      </w:r>
      <w:r>
        <w:rPr>
          <w:rFonts w:hint="eastAsia" w:ascii="仿宋" w:hAnsi="仿宋" w:eastAsia="仿宋" w:cs="仿宋"/>
          <w:b/>
          <w:color w:val="auto"/>
          <w:sz w:val="28"/>
          <w:szCs w:val="28"/>
          <w:lang w:val="en-US" w:eastAsia="zh-CN"/>
        </w:rPr>
        <w:t>要求</w:t>
      </w:r>
    </w:p>
    <w:p>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产品须是按厂家出厂标准配置提供的全新产品，是具备正规合法经销渠道，符合《中华人民共和国食品安全法》、《中华人民共和国食品安全法实施条例》等有关规定的质量标准、环保标准或行业标准等国家相关质量标准的合格产品。交货后如出现质量达不到国家标准/行业标准的情况，供应商应无条件给予更换。</w:t>
      </w:r>
    </w:p>
    <w:p>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pPr>
        <w:widowControl w:val="0"/>
        <w:spacing w:line="400" w:lineRule="exact"/>
        <w:ind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相关条款要求中标人赔偿。在规定的保质期内，中标人应对由于运输装卸、保质期等引起的问题承担全部责任。</w:t>
      </w:r>
    </w:p>
    <w:p>
      <w:pPr>
        <w:widowControl w:val="0"/>
        <w:spacing w:line="400" w:lineRule="exact"/>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3、如招标人需增补慰问品数量，按实际采购量进行结算，中标人需根据招标人需求配送至指定地点。</w:t>
      </w:r>
    </w:p>
    <w:p>
      <w:pPr>
        <w:widowControl w:val="0"/>
        <w:spacing w:line="400" w:lineRule="exact"/>
        <w:ind w:firstLine="0" w:firstLineChars="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九、慰问品验收</w:t>
      </w:r>
    </w:p>
    <w:p>
      <w:pPr>
        <w:spacing w:line="400" w:lineRule="exact"/>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甲方收到乙方货物检验无误后，应与乙方办理签收手续。验收中，如甲方发现包装破损或存在保质期、质量等问题应告知乙方，乙方须在甲方告知后三个工作日内予以退换。</w:t>
      </w:r>
    </w:p>
    <w:p>
      <w:pPr>
        <w:widowControl w:val="0"/>
        <w:spacing w:line="400" w:lineRule="exact"/>
        <w:ind w:firstLine="0" w:firstLineChars="0"/>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十、付款方式：</w:t>
      </w:r>
    </w:p>
    <w:p>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本项目无预付款，按合同实际</w:t>
      </w:r>
      <w:r>
        <w:rPr>
          <w:rFonts w:hint="eastAsia" w:ascii="仿宋" w:hAnsi="仿宋" w:eastAsia="仿宋" w:cs="仿宋"/>
          <w:color w:val="auto"/>
          <w:kern w:val="0"/>
          <w:sz w:val="28"/>
          <w:szCs w:val="28"/>
          <w:lang w:val="en-US" w:eastAsia="zh-CN" w:bidi="ar"/>
        </w:rPr>
        <w:t>配送、签收量进行结算</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一次性付全款。</w:t>
      </w:r>
    </w:p>
    <w:p>
      <w:pPr>
        <w:widowControl w:val="0"/>
        <w:spacing w:line="400" w:lineRule="exact"/>
        <w:ind w:firstLine="0" w:firstLineChars="0"/>
        <w:jc w:val="both"/>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十一、供应商遴选方式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对供应商商品质量、服务及时性及价格进行综合评价，遴选1家供应商。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sz w:val="28"/>
          <w:szCs w:val="28"/>
          <w:lang w:val="en-US" w:eastAsia="zh-CN"/>
        </w:rPr>
      </w:pPr>
      <w:bookmarkStart w:id="1" w:name="_GoBack"/>
      <w:bookmarkEnd w:id="1"/>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769E1"/>
    <w:multiLevelType w:val="singleLevel"/>
    <w:tmpl w:val="F8F769E1"/>
    <w:lvl w:ilvl="0" w:tentative="0">
      <w:start w:val="4"/>
      <w:numFmt w:val="chineseCounting"/>
      <w:suff w:val="nothing"/>
      <w:lvlText w:val="%1、"/>
      <w:lvlJc w:val="left"/>
      <w:pPr>
        <w:ind w:left="0"/>
      </w:pPr>
      <w:rPr>
        <w:rFonts w:hint="eastAsia"/>
      </w:rPr>
    </w:lvl>
  </w:abstractNum>
  <w:abstractNum w:abstractNumId="1">
    <w:nsid w:val="FDE6A1C1"/>
    <w:multiLevelType w:val="singleLevel"/>
    <w:tmpl w:val="FDE6A1C1"/>
    <w:lvl w:ilvl="0" w:tentative="0">
      <w:start w:val="1"/>
      <w:numFmt w:val="decimal"/>
      <w:suff w:val="nothing"/>
      <w:lvlText w:val="%1．"/>
      <w:lvlJc w:val="left"/>
      <w:pPr>
        <w:ind w:left="0" w:firstLine="400"/>
      </w:pPr>
      <w:rPr>
        <w:rFonts w:hint="default"/>
      </w:rPr>
    </w:lvl>
  </w:abstractNum>
  <w:abstractNum w:abstractNumId="2">
    <w:nsid w:val="138FEDF9"/>
    <w:multiLevelType w:val="singleLevel"/>
    <w:tmpl w:val="138FEDF9"/>
    <w:lvl w:ilvl="0" w:tentative="0">
      <w:start w:val="1"/>
      <w:numFmt w:val="decimal"/>
      <w:lvlText w:val="%1."/>
      <w:lvlJc w:val="left"/>
      <w:pPr>
        <w:tabs>
          <w:tab w:val="left" w:pos="312"/>
        </w:tabs>
      </w:pPr>
    </w:lvl>
  </w:abstractNum>
  <w:abstractNum w:abstractNumId="3">
    <w:nsid w:val="5FEAD44E"/>
    <w:multiLevelType w:val="singleLevel"/>
    <w:tmpl w:val="5FEAD44E"/>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6636"/>
    <w:rsid w:val="0CB30EA9"/>
    <w:rsid w:val="14025171"/>
    <w:rsid w:val="370630FC"/>
    <w:rsid w:val="438F17CB"/>
    <w:rsid w:val="466873B5"/>
    <w:rsid w:val="6C3A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3">
    <w:name w:val="List 2"/>
    <w:qFormat/>
    <w:uiPriority w:val="0"/>
    <w:pPr>
      <w:widowControl w:val="0"/>
      <w:ind w:left="100" w:leftChars="200" w:hanging="200" w:hangingChars="200"/>
      <w:jc w:val="both"/>
    </w:pPr>
    <w:rPr>
      <w:rFonts w:eastAsia="宋体" w:asciiTheme="minorHAnsi" w:hAnsiTheme="minorHAnsi" w:cstheme="minorBidi"/>
      <w:kern w:val="2"/>
      <w:sz w:val="21"/>
      <w:szCs w:val="22"/>
      <w:lang w:val="en-US" w:eastAsia="zh-CN"/>
    </w:rPr>
  </w:style>
  <w:style w:type="paragraph" w:styleId="6">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2024-12-10T10:31:00Z</dcterms:created>
  <dc:creator>Administrator</dc:creator>
  <cp:lastModifiedBy>Administrator</cp:lastModifiedBy>
  <cp:lastPrinted>2024-12-13T01:01:00Z</cp:lastPrinted>
  <dcterms:modified xsi:type="dcterms:W3CDTF">2024-12-14T01:10:27Z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