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宋体" w:eastAsia="宋体" w:hAnsi="宋体"/>
          <w:sz w:val="44"/>
          <w:szCs w:val="44"/>
        </w:rPr>
      </w:pPr>
      <w:r>
        <w:rPr>
          <w:rFonts w:ascii="宋体" w:eastAsia="宋体" w:hAnsi="宋体" w:hint="eastAsia"/>
          <w:sz w:val="44"/>
          <w:szCs w:val="44"/>
        </w:rPr>
        <w:t>柳州市工人医院手术室麻醉信息管理系统</w:t>
      </w:r>
      <w:r>
        <w:rPr>
          <w:rFonts w:ascii="宋体" w:eastAsia="宋体" w:hAnsi="宋体"/>
          <w:sz w:val="44"/>
          <w:szCs w:val="44"/>
        </w:rPr>
        <w:t>技术参数</w:t>
      </w:r>
      <w:r>
        <w:rPr>
          <w:rFonts w:ascii="宋体" w:eastAsia="宋体" w:hAnsi="宋体" w:hint="eastAsia"/>
          <w:sz w:val="44"/>
          <w:szCs w:val="44"/>
        </w:rPr>
        <w:t>要求</w:t>
      </w:r>
    </w:p>
    <w:p>
      <w:pPr>
        <w:pStyle w:val="style0"/>
        <w:jc w:val="center"/>
        <w:rPr>
          <w:rFonts w:ascii="宋体" w:eastAsia="宋体" w:hAnsi="宋体"/>
          <w:sz w:val="44"/>
          <w:szCs w:val="4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项目背景</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伴随信息技术的迅速发展，传统的医疗卫生行业正在朝着建立信息化医疗体系的目标疾步前进。如何利用先进的信息技术有效提升业务水平并全面改善服务质量，成为各级医院面临的巨大挑战。经济药品基础管理、成本核算、电子病历、远程医疗、视频教学等新兴网络应用为各级医院改变经营观念、丰富服务类别拓展了思路，开阔了视野。随着国家对医疗卫生系统的投资力度不断加大，各级医院信息化进程不断深入，按照基础管理信息系统、临床医疗信息系统（电子病历）、医疗信息网络（</w:t>
      </w:r>
      <w:r>
        <w:rPr>
          <w:rFonts w:ascii="宋体" w:eastAsia="宋体" w:hAnsi="宋体"/>
          <w:sz w:val="24"/>
          <w:szCs w:val="24"/>
        </w:rPr>
        <w:t xml:space="preserve"> PACS / LIS ）的发展脉络层层推进。目前中国医院尚处在信息化发展的</w:t>
      </w:r>
      <w:r>
        <w:rPr>
          <w:rFonts w:ascii="宋体" w:eastAsia="宋体" w:hAnsi="宋体" w:hint="eastAsia"/>
          <w:sz w:val="24"/>
          <w:szCs w:val="24"/>
        </w:rPr>
        <w:t>初级阶段，大多数已经意识到也开始了在信息化方面的投资和建设，部分医院已初具成效。</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我院鱼峰院区和西院院区</w:t>
      </w:r>
      <w:r>
        <w:rPr>
          <w:rFonts w:ascii="宋体" w:eastAsia="宋体" w:hAnsi="宋体" w:hint="eastAsia"/>
          <w:sz w:val="24"/>
          <w:szCs w:val="24"/>
        </w:rPr>
        <w:t>手术麻醉信息</w:t>
      </w:r>
      <w:r>
        <w:rPr>
          <w:rFonts w:ascii="宋体" w:eastAsia="宋体" w:hAnsi="宋体" w:hint="eastAsia"/>
          <w:sz w:val="24"/>
          <w:szCs w:val="24"/>
        </w:rPr>
        <w:t>管理</w:t>
      </w:r>
      <w:r>
        <w:rPr>
          <w:rFonts w:ascii="宋体" w:eastAsia="宋体" w:hAnsi="宋体" w:hint="eastAsia"/>
          <w:sz w:val="24"/>
          <w:szCs w:val="24"/>
        </w:rPr>
        <w:t>系统</w:t>
      </w:r>
      <w:r>
        <w:rPr>
          <w:rFonts w:ascii="宋体" w:eastAsia="宋体" w:hAnsi="宋体" w:hint="eastAsia"/>
          <w:sz w:val="24"/>
          <w:szCs w:val="24"/>
        </w:rPr>
        <w:t>使用</w:t>
      </w:r>
      <w:r>
        <w:rPr>
          <w:rFonts w:ascii="宋体" w:eastAsia="宋体" w:hAnsi="宋体" w:hint="eastAsia"/>
          <w:sz w:val="24"/>
          <w:szCs w:val="24"/>
        </w:rPr>
        <w:t>已有</w:t>
      </w:r>
      <w:r>
        <w:rPr>
          <w:rFonts w:ascii="宋体" w:eastAsia="宋体" w:hAnsi="宋体"/>
          <w:sz w:val="24"/>
          <w:szCs w:val="24"/>
        </w:rPr>
        <w:t>10</w:t>
      </w:r>
      <w:r>
        <w:rPr>
          <w:rFonts w:ascii="宋体" w:eastAsia="宋体" w:hAnsi="宋体"/>
          <w:sz w:val="24"/>
          <w:szCs w:val="24"/>
        </w:rPr>
        <w:t>余年</w:t>
      </w:r>
      <w:r>
        <w:rPr>
          <w:rFonts w:ascii="宋体" w:eastAsia="宋体" w:hAnsi="宋体" w:hint="eastAsia"/>
          <w:sz w:val="24"/>
          <w:szCs w:val="24"/>
        </w:rPr>
        <w:t>，</w:t>
      </w:r>
      <w:r>
        <w:rPr>
          <w:rFonts w:ascii="宋体" w:eastAsia="宋体" w:hAnsi="宋体" w:hint="eastAsia"/>
          <w:sz w:val="24"/>
          <w:szCs w:val="24"/>
        </w:rPr>
        <w:t>软硬件陈旧，报错率高</w:t>
      </w:r>
      <w:r>
        <w:rPr>
          <w:rFonts w:ascii="宋体" w:eastAsia="宋体" w:hAnsi="宋体" w:hint="eastAsia"/>
          <w:sz w:val="24"/>
          <w:szCs w:val="24"/>
        </w:rPr>
        <w:t>，已无法满足目前工作需求</w:t>
      </w:r>
      <w:r>
        <w:rPr>
          <w:rFonts w:ascii="宋体" w:eastAsia="宋体" w:hAnsi="宋体" w:hint="eastAsia"/>
          <w:sz w:val="24"/>
          <w:szCs w:val="24"/>
        </w:rPr>
        <w:t>。</w:t>
      </w:r>
      <w:r>
        <w:rPr>
          <w:rFonts w:ascii="宋体" w:eastAsia="宋体" w:hAnsi="宋体" w:hint="eastAsia"/>
          <w:sz w:val="24"/>
          <w:szCs w:val="24"/>
        </w:rPr>
        <w:t>新的</w:t>
      </w:r>
      <w:r>
        <w:rPr>
          <w:rFonts w:ascii="宋体" w:eastAsia="宋体" w:hAnsi="宋体" w:hint="eastAsia"/>
          <w:sz w:val="24"/>
          <w:szCs w:val="24"/>
        </w:rPr>
        <w:t>麻醉信息管理系统建设完成后</w:t>
      </w:r>
      <w:r>
        <w:rPr>
          <w:rFonts w:ascii="宋体" w:eastAsia="宋体" w:hAnsi="宋体" w:hint="eastAsia"/>
          <w:sz w:val="24"/>
          <w:szCs w:val="24"/>
        </w:rPr>
        <w:t>，应</w:t>
      </w:r>
      <w:r>
        <w:rPr>
          <w:rFonts w:ascii="宋体" w:eastAsia="宋体" w:hAnsi="宋体" w:hint="eastAsia"/>
          <w:sz w:val="24"/>
          <w:szCs w:val="24"/>
        </w:rPr>
        <w:t>满足对患者麻醉全过程实时动态跟踪，自动生成手术麻醉中的各种医疗文书、完整共享</w:t>
      </w:r>
      <w:r>
        <w:rPr>
          <w:rFonts w:ascii="宋体" w:eastAsia="宋体" w:hAnsi="宋体"/>
          <w:sz w:val="24"/>
          <w:szCs w:val="24"/>
        </w:rPr>
        <w:t>HIS,LIS,PACS、电子病历等业务的实际需求，支持监护仪、麻醉机、呼吸机、输液泵等设备采集,满足麻醉质控指标，提高麻醉工作效率。</w:t>
      </w: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项目建设内容及要求</w:t>
      </w:r>
    </w:p>
    <w:p>
      <w:pPr>
        <w:pStyle w:val="style179"/>
        <w:spacing w:lineRule="auto" w:line="360"/>
        <w:ind w:firstLine="0" w:firstLineChars="0"/>
        <w:rPr>
          <w:rFonts w:ascii="宋体" w:eastAsia="宋体" w:hAnsi="宋体"/>
          <w:sz w:val="24"/>
          <w:szCs w:val="24"/>
        </w:rPr>
      </w:pPr>
      <w:r>
        <w:rPr>
          <w:rFonts w:ascii="宋体" w:eastAsia="宋体" w:hAnsi="宋体" w:hint="eastAsia"/>
          <w:sz w:val="24"/>
          <w:szCs w:val="24"/>
        </w:rPr>
        <w:t>（一）项目整体信息化建设要求</w:t>
      </w:r>
    </w:p>
    <w:tbl>
      <w:tblPr>
        <w:tblStyle w:val="style154"/>
        <w:tblW w:w="8296" w:type="dxa"/>
        <w:jc w:val="center"/>
        <w:tblLayout w:type="fixed"/>
        <w:tblLook w:val="04A0" w:firstRow="1" w:lastRow="0" w:firstColumn="1" w:lastColumn="0" w:noHBand="0" w:noVBand="1"/>
      </w:tblPr>
      <w:tblGrid>
        <w:gridCol w:w="656"/>
        <w:gridCol w:w="1607"/>
        <w:gridCol w:w="1418"/>
        <w:gridCol w:w="4615"/>
      </w:tblGrid>
      <w:tr>
        <w:trPr>
          <w:jc w:val="center"/>
        </w:trPr>
        <w:tc>
          <w:tcPr>
            <w:tcW w:w="656"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序号</w:t>
            </w:r>
          </w:p>
        </w:tc>
        <w:tc>
          <w:tcPr>
            <w:tcW w:w="1607"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名称</w:t>
            </w:r>
          </w:p>
        </w:tc>
        <w:tc>
          <w:tcPr>
            <w:tcW w:w="1418"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功能</w:t>
            </w:r>
          </w:p>
        </w:tc>
        <w:tc>
          <w:tcPr>
            <w:tcW w:w="4615"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内涵描述</w:t>
            </w:r>
          </w:p>
        </w:tc>
      </w:tr>
      <w:tr>
        <w:tblPrEx/>
        <w:trPr>
          <w:jc w:val="center"/>
        </w:trPr>
        <w:tc>
          <w:tcPr>
            <w:tcW w:w="656" w:type="dxa"/>
            <w:vMerge w:val="restart"/>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szCs w:val="21"/>
              </w:rPr>
              <w:t>1</w:t>
            </w:r>
          </w:p>
        </w:tc>
        <w:tc>
          <w:tcPr>
            <w:tcW w:w="1607" w:type="dxa"/>
            <w:vMerge w:val="restart"/>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手术麻醉门户平台</w:t>
            </w: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临床信息集成</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根据用户医院的信息化建设实际情况和需求，对需要关联应用的信息系统进行集成</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数据采集解析</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支持连接常用厂家不同型号的设备，突破设备厂家之间的接口壁垒，可以直接将主要数字化医疗仪器厂商的产品连接到统一的信息支</w:t>
            </w:r>
            <w:r>
              <w:rPr>
                <w:rFonts w:ascii="宋体" w:eastAsia="宋体" w:hAnsi="宋体" w:hint="eastAsia"/>
                <w:szCs w:val="21"/>
              </w:rPr>
              <w:t>撑平台进行实时的数据采集，实现一体化的信息化建设，数据充分共享</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麻醉门户首页</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通过手术麻醉首页反映当日内手术部的实时运行情况，该部分内容可根据用户需求</w:t>
            </w:r>
            <w:r>
              <w:rPr>
                <w:rFonts w:ascii="宋体" w:eastAsia="宋体" w:hAnsi="宋体" w:hint="eastAsia"/>
                <w:szCs w:val="21"/>
              </w:rPr>
              <w:t>进行定制调整。可通过点击快速统计应用跳转至手术麻醉统计分子系统</w:t>
            </w:r>
          </w:p>
        </w:tc>
      </w:tr>
      <w:tr>
        <w:tblPrEx/>
        <w:trPr>
          <w:jc w:val="center"/>
        </w:trPr>
        <w:tc>
          <w:tcPr>
            <w:tcW w:w="656" w:type="dxa"/>
            <w:vMerge w:val="restart"/>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2</w:t>
            </w:r>
          </w:p>
        </w:tc>
        <w:tc>
          <w:tcPr>
            <w:tcW w:w="1607" w:type="dxa"/>
            <w:vMerge w:val="restart"/>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手术安排子系统</w:t>
            </w: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手术申请</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从</w:t>
            </w:r>
            <w:r>
              <w:rPr>
                <w:rFonts w:ascii="宋体" w:eastAsia="宋体" w:hAnsi="宋体"/>
                <w:szCs w:val="21"/>
              </w:rPr>
              <w:t>HIS接口获取、批量接收手术申请信息，也可自主创建手术申请信息，自动在患者列表中创建该手术申请的患者列表</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手术排台</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通过拖拽已接收的手术申请患者卡，安排至手术间完成基础排程</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手术通知</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对当前已完成的手术排程列表明细，自动生成次日的手术安排通知单，将次日的手术安排投影至手术更衣区的手术通知大屏</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患者列表</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按术前、术中、术后显示当前状态下的患者明细，可通过查询条件检索定位相应的患者或群体</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手术查询</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支持查询当前围术期内的手术患者和历史手术患者的相关信息，可通过查询条件进行检索</w:t>
            </w:r>
          </w:p>
        </w:tc>
      </w:tr>
      <w:tr>
        <w:tblPrEx/>
        <w:trPr>
          <w:jc w:val="center"/>
        </w:trPr>
        <w:tc>
          <w:tcPr>
            <w:tcW w:w="656" w:type="dxa"/>
            <w:vMerge w:val="restart"/>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3</w:t>
            </w:r>
          </w:p>
        </w:tc>
        <w:tc>
          <w:tcPr>
            <w:tcW w:w="1607" w:type="dxa"/>
            <w:vMerge w:val="restart"/>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麻醉管理子系统</w:t>
            </w: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术前管理</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针对已进行排程的手术患者，对其在术前阶段进行访视、评估、宣传和准备的工作。</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术中管理</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szCs w:val="21"/>
              </w:rPr>
              <w:t>按手术标准流程从入手术室至出手术室间，对患者进行自动采集术中的体征监控，记录用药、输血、输氧、出入量、气管插管等相关手术麻醉事件，支持快捷模板和套餐模板式记录，并自动生成电子麻醉记录单。支持在术中调阅患者的检查检验信息。支持对家属通告区大屏的呼叫和通知功能，支持文字转语音播放功能。</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szCs w:val="21"/>
              </w:rPr>
              <w:t>PACU苏醒管理</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在手术结束后，对麻醉后患者进行观察和生命体征监测，通过各种措施对麻醉苏醒中的患者进行治疗，使患者的生命体征能够恢复正常并成功麻醉苏醒，根据以上内容形成苏醒记录单并提供对</w:t>
            </w:r>
            <w:r>
              <w:rPr>
                <w:rFonts w:ascii="宋体" w:eastAsia="宋体" w:hAnsi="宋体" w:hint="eastAsia"/>
                <w:szCs w:val="21"/>
              </w:rPr>
              <w:t>患者的苏醒情况进行评分分析</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术后管理</w:t>
            </w:r>
          </w:p>
        </w:tc>
        <w:tc>
          <w:tcPr>
            <w:tcW w:w="4615" w:type="dxa"/>
            <w:tcBorders/>
            <w:vAlign w:val="center"/>
          </w:tcPr>
          <w:p>
            <w:pPr>
              <w:pStyle w:val="style179"/>
              <w:spacing w:lineRule="auto" w:line="360"/>
              <w:ind w:firstLine="0" w:firstLineChars="0"/>
              <w:rPr>
                <w:rFonts w:ascii="宋体" w:eastAsia="宋体" w:hAnsi="宋体"/>
                <w:szCs w:val="21"/>
              </w:rPr>
            </w:pPr>
            <w:r>
              <w:rPr>
                <w:rFonts w:ascii="宋体" w:eastAsia="宋体" w:hAnsi="宋体" w:hint="eastAsia"/>
                <w:szCs w:val="21"/>
              </w:rPr>
              <w:t>针对在手术结束后回到病房</w:t>
            </w:r>
            <w:r>
              <w:rPr>
                <w:rFonts w:ascii="宋体" w:eastAsia="宋体" w:hAnsi="宋体"/>
                <w:szCs w:val="21"/>
              </w:rPr>
              <w:t>/ICU的患者进行麻醉术后跟踪，观察患者的术后恢复情况，并针对患者术后的疼痛反应继续给予镇痛治疗，帮助患者早日康复，并根据围术期内的麻醉数据进行有效的总结，形成经验性文档保存。</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left="420" w:hanging="420" w:firstLineChars="0"/>
              <w:jc w:val="center"/>
              <w:rPr>
                <w:rFonts w:ascii="宋体" w:eastAsia="宋体" w:hAnsi="宋体"/>
                <w:szCs w:val="21"/>
              </w:rPr>
            </w:pPr>
            <w:r>
              <w:rPr>
                <w:rFonts w:ascii="宋体" w:eastAsia="宋体" w:hAnsi="宋体" w:hint="eastAsia"/>
                <w:szCs w:val="21"/>
              </w:rPr>
              <w:t>病历管理</w:t>
            </w:r>
          </w:p>
        </w:tc>
        <w:tc>
          <w:tcPr>
            <w:tcW w:w="4615" w:type="dxa"/>
            <w:tcBorders/>
          </w:tcPr>
          <w:p>
            <w:pPr>
              <w:pStyle w:val="style0"/>
              <w:spacing w:lineRule="auto" w:line="360"/>
              <w:rPr>
                <w:rFonts w:ascii="宋体" w:eastAsia="宋体" w:hAnsi="宋体"/>
                <w:szCs w:val="21"/>
              </w:rPr>
            </w:pPr>
            <w:r>
              <w:rPr>
                <w:rFonts w:ascii="宋体" w:eastAsia="宋体" w:hAnsi="宋体" w:hint="eastAsia"/>
                <w:szCs w:val="21"/>
              </w:rPr>
              <w:t>支持对患者的手术病历进行调阅，查看病历是否填写完成，审查病历的完成质量。支持对未归档的病历可进行修改和调整，并记录修改时间和修改者</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消息管理</w:t>
            </w:r>
          </w:p>
        </w:tc>
        <w:tc>
          <w:tcPr>
            <w:tcW w:w="4615" w:type="dxa"/>
            <w:tcBorders/>
          </w:tcPr>
          <w:p>
            <w:pPr>
              <w:pStyle w:val="style179"/>
              <w:spacing w:lineRule="auto" w:line="360"/>
              <w:ind w:firstLine="0" w:firstLineChars="0"/>
              <w:rPr>
                <w:rFonts w:ascii="宋体" w:eastAsia="宋体" w:hAnsi="宋体"/>
                <w:szCs w:val="21"/>
              </w:rPr>
            </w:pPr>
            <w:r>
              <w:rPr>
                <w:rFonts w:ascii="宋体" w:eastAsia="宋体" w:hAnsi="宋体" w:hint="eastAsia"/>
                <w:szCs w:val="21"/>
              </w:rPr>
              <w:t>根据术中患者体征情况，自动提供消息预警和报警情况</w:t>
            </w:r>
          </w:p>
        </w:tc>
      </w:tr>
      <w:tr>
        <w:tblPrEx/>
        <w:trPr>
          <w:jc w:val="center"/>
        </w:trPr>
        <w:tc>
          <w:tcPr>
            <w:tcW w:w="656"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4</w:t>
            </w:r>
          </w:p>
        </w:tc>
        <w:tc>
          <w:tcPr>
            <w:tcW w:w="1607"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医护患协同</w:t>
            </w: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大屏公告子系统</w:t>
            </w:r>
          </w:p>
        </w:tc>
        <w:tc>
          <w:tcPr>
            <w:tcW w:w="4615" w:type="dxa"/>
            <w:tcBorders/>
          </w:tcPr>
          <w:p>
            <w:pPr>
              <w:pStyle w:val="style179"/>
              <w:spacing w:lineRule="auto" w:line="360"/>
              <w:ind w:firstLine="0" w:firstLineChars="0"/>
              <w:rPr>
                <w:rFonts w:ascii="宋体" w:eastAsia="宋体" w:hAnsi="宋体"/>
                <w:szCs w:val="21"/>
              </w:rPr>
            </w:pPr>
            <w:r>
              <w:rPr>
                <w:rFonts w:ascii="宋体" w:eastAsia="宋体" w:hAnsi="宋体" w:hint="eastAsia"/>
                <w:szCs w:val="21"/>
              </w:rPr>
              <w:t>支持指定手术室公告在特定区域显示的大屏公告通知方式，满足不同科室在多个家属等待区的信息推送</w:t>
            </w:r>
          </w:p>
        </w:tc>
      </w:tr>
      <w:tr>
        <w:tblPrEx/>
        <w:trPr>
          <w:jc w:val="center"/>
        </w:trPr>
        <w:tc>
          <w:tcPr>
            <w:tcW w:w="656" w:type="dxa"/>
            <w:vMerge w:val="restart"/>
            <w:tcBorders/>
            <w:vAlign w:val="center"/>
          </w:tcPr>
          <w:p>
            <w:pPr>
              <w:pStyle w:val="style0"/>
              <w:spacing w:lineRule="auto" w:line="360"/>
              <w:jc w:val="center"/>
              <w:rPr>
                <w:rFonts w:ascii="宋体" w:eastAsia="宋体" w:hAnsi="宋体"/>
                <w:szCs w:val="21"/>
              </w:rPr>
            </w:pPr>
            <w:r>
              <w:rPr>
                <w:rFonts w:ascii="宋体" w:eastAsia="宋体" w:hAnsi="宋体" w:hint="eastAsia"/>
                <w:szCs w:val="21"/>
              </w:rPr>
              <w:t>5</w:t>
            </w:r>
          </w:p>
        </w:tc>
        <w:tc>
          <w:tcPr>
            <w:tcW w:w="1607" w:type="dxa"/>
            <w:vMerge w:val="restart"/>
            <w:tcBorders/>
            <w:vAlign w:val="center"/>
          </w:tcPr>
          <w:p>
            <w:pPr>
              <w:pStyle w:val="style0"/>
              <w:jc w:val="center"/>
              <w:rPr>
                <w:rFonts w:ascii="宋体" w:eastAsia="宋体" w:hAnsi="宋体"/>
                <w:szCs w:val="21"/>
              </w:rPr>
            </w:pPr>
            <w:r>
              <w:rPr>
                <w:rFonts w:ascii="宋体" w:eastAsia="宋体" w:hAnsi="宋体" w:hint="eastAsia"/>
                <w:szCs w:val="21"/>
              </w:rPr>
              <w:t>统计分析子系统</w:t>
            </w: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麻醉质量控制指标</w:t>
            </w:r>
          </w:p>
        </w:tc>
        <w:tc>
          <w:tcPr>
            <w:tcW w:w="4615" w:type="dxa"/>
            <w:tcBorders/>
          </w:tcPr>
          <w:p>
            <w:pPr>
              <w:pStyle w:val="style179"/>
              <w:spacing w:lineRule="auto" w:line="360"/>
              <w:ind w:firstLine="0" w:firstLineChars="0"/>
              <w:jc w:val="left"/>
              <w:rPr>
                <w:rFonts w:ascii="宋体" w:eastAsia="宋体" w:hAnsi="宋体"/>
                <w:szCs w:val="21"/>
              </w:rPr>
            </w:pPr>
            <w:r>
              <w:rPr>
                <w:rFonts w:ascii="宋体" w:eastAsia="宋体" w:hAnsi="宋体" w:hint="eastAsia"/>
                <w:szCs w:val="21"/>
              </w:rPr>
              <w:t>通过对围术期内业务数据按照手术麻醉质量控制指标要求进行抽取、清洗和整合，按照上报要求提供结构式统计分析功能，如定制化表格、数据报表统计和相应的数据接口等，并支持对报表中的包括表格形式的统计结果童工多种图形方式进行可视化展现，并按照时间周期（月</w:t>
            </w:r>
            <w:r>
              <w:rPr>
                <w:rFonts w:ascii="宋体" w:eastAsia="宋体" w:hAnsi="宋体"/>
                <w:szCs w:val="21"/>
              </w:rPr>
              <w:t>/季/年）统计</w:t>
            </w:r>
          </w:p>
        </w:tc>
      </w:tr>
      <w:tr>
        <w:tblPrEx/>
        <w:trPr>
          <w:jc w:val="center"/>
        </w:trPr>
        <w:tc>
          <w:tcPr>
            <w:tcW w:w="656"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607" w:type="dxa"/>
            <w:vMerge w:val="continue"/>
            <w:tcBorders/>
            <w:vAlign w:val="center"/>
          </w:tcPr>
          <w:p>
            <w:pPr>
              <w:pStyle w:val="style179"/>
              <w:spacing w:lineRule="auto" w:line="360"/>
              <w:ind w:firstLine="0" w:firstLineChars="0"/>
              <w:jc w:val="center"/>
              <w:rPr>
                <w:rFonts w:ascii="宋体" w:eastAsia="宋体" w:hAnsi="宋体"/>
                <w:szCs w:val="21"/>
              </w:rPr>
            </w:pP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科室统计报表</w:t>
            </w:r>
          </w:p>
        </w:tc>
        <w:tc>
          <w:tcPr>
            <w:tcW w:w="4615" w:type="dxa"/>
            <w:tcBorders/>
          </w:tcPr>
          <w:p>
            <w:pPr>
              <w:pStyle w:val="style179"/>
              <w:spacing w:lineRule="auto" w:line="360"/>
              <w:ind w:firstLine="0" w:firstLineChars="0"/>
              <w:rPr>
                <w:rFonts w:ascii="宋体" w:eastAsia="宋体" w:hAnsi="宋体"/>
                <w:szCs w:val="21"/>
              </w:rPr>
            </w:pPr>
            <w:r>
              <w:rPr>
                <w:rFonts w:ascii="宋体" w:eastAsia="宋体" w:hAnsi="宋体" w:hint="eastAsia"/>
                <w:szCs w:val="21"/>
              </w:rPr>
              <w:t>支持多种查询条件，可根据医院需求定制统计报表</w:t>
            </w:r>
          </w:p>
        </w:tc>
      </w:tr>
      <w:tr>
        <w:tblPrEx/>
        <w:trPr>
          <w:jc w:val="center"/>
        </w:trPr>
        <w:tc>
          <w:tcPr>
            <w:tcW w:w="656"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6</w:t>
            </w:r>
          </w:p>
        </w:tc>
        <w:tc>
          <w:tcPr>
            <w:tcW w:w="1607"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手术麻醉移动端</w:t>
            </w:r>
          </w:p>
        </w:tc>
        <w:tc>
          <w:tcPr>
            <w:tcW w:w="1418"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移动访视</w:t>
            </w:r>
          </w:p>
        </w:tc>
        <w:tc>
          <w:tcPr>
            <w:tcW w:w="4615" w:type="dxa"/>
            <w:tcBorders/>
          </w:tcPr>
          <w:p>
            <w:pPr>
              <w:pStyle w:val="style179"/>
              <w:spacing w:lineRule="auto" w:line="360"/>
              <w:ind w:firstLine="0" w:firstLineChars="0"/>
              <w:rPr>
                <w:rFonts w:ascii="宋体" w:eastAsia="宋体" w:hAnsi="宋体"/>
                <w:szCs w:val="21"/>
              </w:rPr>
            </w:pPr>
            <w:r>
              <w:rPr>
                <w:rFonts w:ascii="宋体" w:eastAsia="宋体" w:hAnsi="宋体" w:hint="eastAsia"/>
                <w:szCs w:val="21"/>
              </w:rPr>
              <w:t>支持提供移动端的方式对术前风险评估、术前</w:t>
            </w:r>
            <w:r>
              <w:rPr>
                <w:rFonts w:ascii="宋体" w:eastAsia="宋体" w:hAnsi="宋体" w:hint="eastAsia"/>
                <w:szCs w:val="21"/>
              </w:rPr>
              <w:t>访视、安全核查表、知情同意书、术后随访、术后镇痛等进行填写记录</w:t>
            </w:r>
            <w:r>
              <w:rPr>
                <w:rFonts w:ascii="宋体" w:eastAsia="宋体" w:hAnsi="宋体" w:hint="eastAsia"/>
                <w:szCs w:val="21"/>
              </w:rPr>
              <w:t>（不限院区和平板数量）</w:t>
            </w:r>
          </w:p>
        </w:tc>
      </w:tr>
      <w:tr>
        <w:tblPrEx/>
        <w:trPr>
          <w:jc w:val="center"/>
        </w:trPr>
        <w:tc>
          <w:tcPr>
            <w:tcW w:w="8296" w:type="dxa"/>
            <w:gridSpan w:val="4"/>
            <w:tcBorders/>
            <w:vAlign w:val="center"/>
          </w:tcPr>
          <w:p>
            <w:pPr>
              <w:pStyle w:val="style0"/>
              <w:spacing w:lineRule="auto" w:line="360"/>
              <w:rPr>
                <w:rFonts w:ascii="宋体" w:eastAsia="宋体" w:hAnsi="宋体"/>
                <w:szCs w:val="21"/>
              </w:rPr>
            </w:pPr>
            <w:r>
              <w:rPr>
                <w:rFonts w:ascii="宋体" w:eastAsia="宋体" w:hAnsi="宋体" w:hint="eastAsia"/>
                <w:szCs w:val="21"/>
              </w:rPr>
              <w:t>备注：麻醉系统涵盖</w:t>
            </w:r>
            <w:r>
              <w:rPr>
                <w:rFonts w:ascii="宋体" w:eastAsia="宋体" w:hAnsi="宋体" w:hint="eastAsia"/>
                <w:szCs w:val="21"/>
              </w:rPr>
              <w:t>医院</w:t>
            </w:r>
            <w:r>
              <w:rPr>
                <w:rFonts w:ascii="宋体" w:eastAsia="宋体" w:hAnsi="宋体" w:hint="eastAsia"/>
                <w:szCs w:val="21"/>
              </w:rPr>
              <w:t>各院区</w:t>
            </w:r>
            <w:r>
              <w:rPr>
                <w:rFonts w:ascii="宋体" w:eastAsia="宋体" w:hAnsi="宋体" w:hint="eastAsia"/>
                <w:szCs w:val="21"/>
              </w:rPr>
              <w:t>软件</w:t>
            </w:r>
            <w:r>
              <w:rPr>
                <w:rFonts w:ascii="宋体" w:eastAsia="宋体" w:hAnsi="宋体" w:hint="eastAsia"/>
                <w:szCs w:val="21"/>
              </w:rPr>
              <w:t>点位数</w:t>
            </w:r>
          </w:p>
        </w:tc>
      </w:tr>
    </w:tbl>
    <w:p>
      <w:pPr>
        <w:pStyle w:val="style179"/>
        <w:spacing w:lineRule="auto" w:line="360"/>
        <w:ind w:firstLine="0" w:firstLineChars="0"/>
        <w:rPr>
          <w:rFonts w:ascii="宋体" w:eastAsia="宋体" w:hAnsi="宋体"/>
          <w:sz w:val="24"/>
          <w:szCs w:val="24"/>
        </w:rPr>
      </w:pPr>
    </w:p>
    <w:p>
      <w:pPr>
        <w:pStyle w:val="style179"/>
        <w:spacing w:lineRule="auto" w:line="360"/>
        <w:ind w:firstLine="0" w:firstLineChars="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二</w:t>
      </w:r>
      <w:r>
        <w:rPr>
          <w:rFonts w:ascii="宋体" w:eastAsia="宋体" w:hAnsi="宋体" w:hint="eastAsia"/>
          <w:sz w:val="24"/>
          <w:szCs w:val="24"/>
        </w:rPr>
        <w:t>）硬件配置要求</w:t>
      </w:r>
    </w:p>
    <w:tbl>
      <w:tblPr>
        <w:tblStyle w:val="style154"/>
        <w:tblW w:w="8296" w:type="dxa"/>
        <w:jc w:val="center"/>
        <w:tblLook w:val="04A0" w:firstRow="1" w:lastRow="0" w:firstColumn="1" w:lastColumn="0" w:noHBand="0" w:noVBand="1"/>
      </w:tblPr>
      <w:tblGrid>
        <w:gridCol w:w="662"/>
        <w:gridCol w:w="1224"/>
        <w:gridCol w:w="745"/>
        <w:gridCol w:w="766"/>
        <w:gridCol w:w="4899"/>
      </w:tblGrid>
      <w:tr>
        <w:trPr>
          <w:jc w:val="center"/>
        </w:trPr>
        <w:tc>
          <w:tcPr>
            <w:tcW w:w="662"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序号</w:t>
            </w:r>
          </w:p>
        </w:tc>
        <w:tc>
          <w:tcPr>
            <w:tcW w:w="1224"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名称</w:t>
            </w:r>
          </w:p>
        </w:tc>
        <w:tc>
          <w:tcPr>
            <w:tcW w:w="745"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数量</w:t>
            </w:r>
          </w:p>
        </w:tc>
        <w:tc>
          <w:tcPr>
            <w:tcW w:w="766"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单位</w:t>
            </w:r>
          </w:p>
        </w:tc>
        <w:tc>
          <w:tcPr>
            <w:tcW w:w="4899" w:type="dxa"/>
            <w:tcBorders/>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配置描述</w:t>
            </w:r>
          </w:p>
        </w:tc>
      </w:tr>
      <w:tr>
        <w:tblPrEx/>
        <w:trPr>
          <w:jc w:val="center"/>
        </w:trPr>
        <w:tc>
          <w:tcPr>
            <w:tcW w:w="662"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1</w:t>
            </w:r>
          </w:p>
        </w:tc>
        <w:tc>
          <w:tcPr>
            <w:tcW w:w="1224"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麻醉工作站</w:t>
            </w:r>
          </w:p>
        </w:tc>
        <w:tc>
          <w:tcPr>
            <w:tcW w:w="745"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szCs w:val="21"/>
              </w:rPr>
              <w:t>20</w:t>
            </w:r>
          </w:p>
        </w:tc>
        <w:tc>
          <w:tcPr>
            <w:tcW w:w="766"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台</w:t>
            </w:r>
          </w:p>
        </w:tc>
        <w:tc>
          <w:tcPr>
            <w:tcW w:w="4899" w:type="dxa"/>
            <w:tcBorders/>
          </w:tcPr>
          <w:p>
            <w:pPr>
              <w:pStyle w:val="style179"/>
              <w:spacing w:lineRule="auto" w:line="360"/>
              <w:ind w:firstLine="0" w:firstLineChars="0"/>
              <w:rPr>
                <w:rFonts w:ascii="宋体" w:eastAsia="宋体" w:hAnsi="宋体"/>
                <w:szCs w:val="21"/>
              </w:rPr>
            </w:pPr>
            <w:r>
              <w:rPr>
                <w:rFonts w:ascii="宋体" w:eastAsia="宋体" w:hAnsi="宋体" w:hint="eastAsia"/>
                <w:szCs w:val="21"/>
              </w:rPr>
              <w:t>处理器：</w:t>
            </w:r>
            <w:r>
              <w:rPr>
                <w:rFonts w:ascii="宋体" w:eastAsia="宋体" w:hAnsi="宋体"/>
                <w:szCs w:val="21"/>
              </w:rPr>
              <w:t>i5 12</w:t>
            </w:r>
            <w:r>
              <w:rPr>
                <w:rFonts w:ascii="宋体" w:eastAsia="宋体" w:hAnsi="宋体" w:hint="eastAsia"/>
                <w:szCs w:val="21"/>
              </w:rPr>
              <w:t>代及以上</w:t>
            </w:r>
            <w:r>
              <w:rPr>
                <w:rFonts w:ascii="宋体" w:eastAsia="宋体" w:hAnsi="宋体"/>
                <w:szCs w:val="21"/>
              </w:rPr>
              <w:t xml:space="preserve"> </w:t>
            </w:r>
            <w:r>
              <w:rPr>
                <w:rFonts w:ascii="宋体" w:eastAsia="宋体" w:hAnsi="宋体"/>
                <w:szCs w:val="21"/>
              </w:rPr>
              <w:br/>
            </w:r>
            <w:r>
              <w:rPr>
                <w:rFonts w:ascii="宋体" w:eastAsia="宋体" w:hAnsi="宋体" w:hint="eastAsia"/>
                <w:szCs w:val="21"/>
              </w:rPr>
              <w:t>内存：</w:t>
            </w:r>
            <w:r>
              <w:rPr>
                <w:rFonts w:ascii="宋体" w:eastAsia="宋体" w:hAnsi="宋体"/>
                <w:szCs w:val="21"/>
              </w:rPr>
              <w:t>≥16G</w:t>
            </w:r>
          </w:p>
          <w:p>
            <w:pPr>
              <w:pStyle w:val="style179"/>
              <w:spacing w:lineRule="auto" w:line="360"/>
              <w:ind w:firstLine="0" w:firstLineChars="0"/>
              <w:rPr>
                <w:rFonts w:ascii="宋体" w:eastAsia="宋体" w:hAnsi="宋体"/>
              </w:rPr>
            </w:pPr>
            <w:r>
              <w:rPr>
                <w:rFonts w:ascii="宋体" w:eastAsia="宋体" w:hAnsi="宋体" w:hint="eastAsia"/>
                <w:szCs w:val="21"/>
              </w:rPr>
              <w:t>硬盘：固态硬盘</w:t>
            </w:r>
            <w:r>
              <w:rPr>
                <w:rFonts w:ascii="宋体" w:eastAsia="宋体" w:hAnsi="宋体"/>
                <w:szCs w:val="21"/>
              </w:rPr>
              <w:t>512G</w:t>
            </w:r>
            <w:r>
              <w:rPr>
                <w:rFonts w:ascii="宋体" w:eastAsia="宋体" w:hAnsi="宋体" w:hint="eastAsia"/>
                <w:szCs w:val="21"/>
              </w:rPr>
              <w:t>，数量</w:t>
            </w:r>
            <w:r>
              <w:rPr>
                <w:rFonts w:ascii="宋体" w:eastAsia="宋体" w:hAnsi="宋体"/>
                <w:szCs w:val="21"/>
              </w:rPr>
              <w:t>1</w:t>
            </w:r>
            <w:r>
              <w:rPr>
                <w:rFonts w:ascii="宋体" w:eastAsia="宋体" w:hAnsi="宋体" w:hint="eastAsia"/>
                <w:szCs w:val="21"/>
              </w:rPr>
              <w:t>块</w:t>
            </w:r>
          </w:p>
          <w:p>
            <w:pPr>
              <w:pStyle w:val="style179"/>
              <w:spacing w:lineRule="auto" w:line="360"/>
              <w:ind w:firstLine="0" w:firstLineChars="0"/>
              <w:rPr>
                <w:rFonts w:ascii="宋体" w:eastAsia="宋体" w:hAnsi="宋体"/>
              </w:rPr>
            </w:pPr>
            <w:r>
              <w:rPr>
                <w:rFonts w:ascii="宋体" w:eastAsia="宋体" w:hAnsi="宋体" w:hint="eastAsia"/>
              </w:rPr>
              <w:t>网卡：最大传输速率</w:t>
            </w:r>
            <w:r>
              <w:rPr>
                <w:rFonts w:ascii="宋体" w:eastAsia="宋体" w:hAnsi="宋体"/>
              </w:rPr>
              <w:t>≥1Gb</w:t>
            </w:r>
            <w:r>
              <w:rPr>
                <w:rFonts w:ascii="宋体" w:eastAsia="宋体" w:hAnsi="宋体" w:hint="eastAsia"/>
              </w:rPr>
              <w:t>，端口</w:t>
            </w:r>
            <w:r>
              <w:rPr>
                <w:rFonts w:ascii="宋体" w:eastAsia="宋体" w:hAnsi="宋体"/>
              </w:rPr>
              <w:t>1</w:t>
            </w:r>
            <w:r>
              <w:rPr>
                <w:rFonts w:ascii="宋体" w:eastAsia="宋体" w:hAnsi="宋体" w:hint="eastAsia"/>
              </w:rPr>
              <w:t>个</w:t>
            </w:r>
          </w:p>
          <w:p>
            <w:pPr>
              <w:pStyle w:val="style179"/>
              <w:spacing w:lineRule="auto" w:line="360"/>
              <w:ind w:firstLine="0" w:firstLineChars="0"/>
              <w:rPr>
                <w:rFonts w:ascii="宋体" w:eastAsia="宋体" w:hAnsi="宋体"/>
              </w:rPr>
            </w:pPr>
            <w:r>
              <w:rPr>
                <w:rFonts w:ascii="宋体" w:eastAsia="宋体" w:hAnsi="宋体" w:hint="eastAsia"/>
              </w:rPr>
              <w:t>显示器：</w:t>
            </w:r>
            <w:r>
              <w:rPr>
                <w:rFonts w:ascii="宋体" w:eastAsia="宋体" w:hAnsi="宋体"/>
                <w:szCs w:val="21"/>
              </w:rPr>
              <w:t>≥23.6</w:t>
            </w:r>
            <w:r>
              <w:rPr>
                <w:rFonts w:ascii="宋体" w:eastAsia="宋体" w:hAnsi="宋体" w:hint="eastAsia"/>
                <w:szCs w:val="21"/>
              </w:rPr>
              <w:t>英寸</w:t>
            </w:r>
          </w:p>
          <w:p>
            <w:pPr>
              <w:pStyle w:val="style179"/>
              <w:spacing w:lineRule="auto" w:line="360"/>
              <w:ind w:firstLine="0" w:firstLineChars="0"/>
              <w:rPr>
                <w:rFonts w:ascii="宋体" w:eastAsia="宋体" w:hAnsi="宋体"/>
                <w:szCs w:val="21"/>
              </w:rPr>
            </w:pPr>
            <w:r>
              <w:rPr>
                <w:rFonts w:ascii="宋体" w:eastAsia="宋体" w:hAnsi="宋体" w:hint="eastAsia"/>
              </w:rPr>
              <w:t>键鼠套装</w:t>
            </w:r>
          </w:p>
        </w:tc>
      </w:tr>
      <w:tr>
        <w:tblPrEx/>
        <w:trPr>
          <w:jc w:val="center"/>
        </w:trPr>
        <w:tc>
          <w:tcPr>
            <w:tcW w:w="662"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2</w:t>
            </w:r>
          </w:p>
        </w:tc>
        <w:tc>
          <w:tcPr>
            <w:tcW w:w="1224"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医用电脑支架/小推车</w:t>
            </w:r>
          </w:p>
        </w:tc>
        <w:tc>
          <w:tcPr>
            <w:tcW w:w="745"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szCs w:val="21"/>
              </w:rPr>
              <w:t>20</w:t>
            </w:r>
            <w:bookmarkStart w:id="0" w:name="_GoBack"/>
            <w:bookmarkEnd w:id="0"/>
          </w:p>
        </w:tc>
        <w:tc>
          <w:tcPr>
            <w:tcW w:w="766"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套</w:t>
            </w:r>
          </w:p>
        </w:tc>
        <w:tc>
          <w:tcPr>
            <w:tcW w:w="4899" w:type="dxa"/>
            <w:tcBorders/>
          </w:tcPr>
          <w:p>
            <w:pPr>
              <w:pStyle w:val="style179"/>
              <w:spacing w:lineRule="auto" w:line="360"/>
              <w:ind w:firstLine="0" w:firstLineChars="0"/>
              <w:rPr>
                <w:rFonts w:ascii="宋体" w:eastAsia="宋体" w:hAnsi="宋体"/>
                <w:szCs w:val="21"/>
              </w:rPr>
            </w:pPr>
            <w:r>
              <w:rPr>
                <w:rFonts w:ascii="宋体" w:eastAsia="宋体" w:hAnsi="宋体" w:hint="eastAsia"/>
                <w:szCs w:val="21"/>
              </w:rPr>
              <w:t>麻醉间用支架，适于墙面及麻醉机、呼吸机、吊塔等设备上面安装一体机，采用外接键盘可配备放置标准</w:t>
            </w:r>
            <w:r>
              <w:rPr>
                <w:rFonts w:ascii="宋体" w:eastAsia="宋体" w:hAnsi="宋体"/>
                <w:szCs w:val="21"/>
              </w:rPr>
              <w:t>86键windows键盘和鼠标的键盘架</w:t>
            </w:r>
          </w:p>
        </w:tc>
      </w:tr>
      <w:tr>
        <w:tblPrEx/>
        <w:trPr>
          <w:jc w:val="center"/>
        </w:trPr>
        <w:tc>
          <w:tcPr>
            <w:tcW w:w="662"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szCs w:val="21"/>
              </w:rPr>
              <w:t>3</w:t>
            </w:r>
          </w:p>
        </w:tc>
        <w:tc>
          <w:tcPr>
            <w:tcW w:w="1224"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移动平板</w:t>
            </w:r>
          </w:p>
        </w:tc>
        <w:tc>
          <w:tcPr>
            <w:tcW w:w="745"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szCs w:val="21"/>
              </w:rPr>
              <w:t>20</w:t>
            </w:r>
          </w:p>
        </w:tc>
        <w:tc>
          <w:tcPr>
            <w:tcW w:w="766"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台</w:t>
            </w:r>
          </w:p>
        </w:tc>
        <w:tc>
          <w:tcPr>
            <w:tcW w:w="4899" w:type="dxa"/>
            <w:tcBorders/>
          </w:tcPr>
          <w:p>
            <w:pPr>
              <w:pStyle w:val="style0"/>
              <w:spacing w:lineRule="auto" w:line="360"/>
              <w:rPr>
                <w:rFonts w:ascii="宋体" w:eastAsia="宋体" w:hAnsi="宋体"/>
                <w:szCs w:val="21"/>
              </w:rPr>
            </w:pPr>
            <w:r>
              <w:rPr>
                <w:rFonts w:ascii="宋体" w:eastAsia="宋体" w:hAnsi="宋体" w:hint="eastAsia"/>
                <w:szCs w:val="21"/>
              </w:rPr>
              <w:t>屏幕尺寸：</w:t>
            </w:r>
            <w:r>
              <w:rPr>
                <w:rFonts w:ascii="宋体" w:eastAsia="宋体" w:hAnsi="宋体"/>
                <w:szCs w:val="21"/>
              </w:rPr>
              <w:t>≥11</w:t>
            </w:r>
            <w:r>
              <w:rPr>
                <w:rFonts w:ascii="宋体" w:eastAsia="宋体" w:hAnsi="宋体"/>
                <w:szCs w:val="21"/>
              </w:rPr>
              <w:t>英寸</w:t>
            </w:r>
          </w:p>
          <w:p>
            <w:pPr>
              <w:pStyle w:val="style0"/>
              <w:spacing w:lineRule="auto" w:line="360"/>
              <w:rPr>
                <w:rFonts w:ascii="宋体" w:eastAsia="宋体" w:hAnsi="宋体"/>
                <w:szCs w:val="21"/>
              </w:rPr>
            </w:pPr>
            <w:r>
              <w:rPr>
                <w:rFonts w:ascii="宋体" w:eastAsia="宋体" w:hAnsi="宋体" w:hint="eastAsia"/>
                <w:szCs w:val="21"/>
              </w:rPr>
              <w:t>内存≥</w:t>
            </w:r>
            <w:r>
              <w:rPr>
                <w:rFonts w:ascii="宋体" w:eastAsia="宋体" w:hAnsi="宋体"/>
                <w:szCs w:val="21"/>
              </w:rPr>
              <w:t>6</w:t>
            </w:r>
            <w:r>
              <w:rPr>
                <w:rFonts w:ascii="宋体" w:eastAsia="宋体" w:hAnsi="宋体"/>
                <w:szCs w:val="21"/>
              </w:rPr>
              <w:t>G</w:t>
            </w:r>
          </w:p>
          <w:p>
            <w:pPr>
              <w:pStyle w:val="style0"/>
              <w:spacing w:lineRule="auto" w:line="360"/>
              <w:rPr>
                <w:rFonts w:ascii="宋体" w:eastAsia="宋体" w:hAnsi="宋体"/>
                <w:szCs w:val="21"/>
              </w:rPr>
            </w:pPr>
            <w:r>
              <w:rPr>
                <w:rFonts w:ascii="宋体" w:eastAsia="宋体" w:hAnsi="宋体" w:hint="eastAsia"/>
                <w:szCs w:val="21"/>
              </w:rPr>
              <w:t>存储≥</w:t>
            </w:r>
            <w:r>
              <w:rPr>
                <w:rFonts w:ascii="宋体" w:eastAsia="宋体" w:hAnsi="宋体"/>
                <w:szCs w:val="21"/>
              </w:rPr>
              <w:t>128</w:t>
            </w:r>
            <w:r>
              <w:rPr>
                <w:rFonts w:ascii="宋体" w:eastAsia="宋体" w:hAnsi="宋体"/>
                <w:szCs w:val="21"/>
              </w:rPr>
              <w:t>G</w:t>
            </w:r>
          </w:p>
          <w:p>
            <w:pPr>
              <w:pStyle w:val="style179"/>
              <w:spacing w:lineRule="auto" w:line="360"/>
              <w:ind w:firstLine="0" w:firstLineChars="0"/>
              <w:rPr>
                <w:rFonts w:ascii="宋体" w:eastAsia="宋体" w:hAnsi="宋体"/>
                <w:szCs w:val="21"/>
              </w:rPr>
            </w:pPr>
            <w:r>
              <w:rPr>
                <w:rFonts w:ascii="宋体" w:eastAsia="宋体" w:hAnsi="宋体" w:hint="eastAsia"/>
                <w:szCs w:val="21"/>
              </w:rPr>
              <w:t>网络连接：</w:t>
            </w:r>
            <w:r>
              <w:rPr>
                <w:rFonts w:ascii="宋体" w:eastAsia="宋体" w:hAnsi="宋体"/>
                <w:szCs w:val="21"/>
              </w:rPr>
              <w:t>WIFI</w:t>
            </w:r>
          </w:p>
        </w:tc>
      </w:tr>
      <w:tr>
        <w:tblPrEx/>
        <w:trPr>
          <w:jc w:val="center"/>
        </w:trPr>
        <w:tc>
          <w:tcPr>
            <w:tcW w:w="662"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4</w:t>
            </w:r>
          </w:p>
        </w:tc>
        <w:tc>
          <w:tcPr>
            <w:tcW w:w="1224"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中央监护工作站</w:t>
            </w:r>
          </w:p>
        </w:tc>
        <w:tc>
          <w:tcPr>
            <w:tcW w:w="745"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3</w:t>
            </w:r>
          </w:p>
        </w:tc>
        <w:tc>
          <w:tcPr>
            <w:tcW w:w="766" w:type="dxa"/>
            <w:tcBorders/>
            <w:vAlign w:val="center"/>
          </w:tcPr>
          <w:p>
            <w:pPr>
              <w:pStyle w:val="style179"/>
              <w:spacing w:lineRule="auto" w:line="360"/>
              <w:ind w:firstLine="0" w:firstLineChars="0"/>
              <w:jc w:val="center"/>
              <w:rPr>
                <w:rFonts w:ascii="宋体" w:eastAsia="宋体" w:hAnsi="宋体"/>
                <w:szCs w:val="21"/>
              </w:rPr>
            </w:pPr>
            <w:r>
              <w:rPr>
                <w:rFonts w:ascii="宋体" w:eastAsia="宋体" w:hAnsi="宋体" w:hint="eastAsia"/>
                <w:szCs w:val="21"/>
              </w:rPr>
              <w:t>台</w:t>
            </w:r>
          </w:p>
        </w:tc>
        <w:tc>
          <w:tcPr>
            <w:tcW w:w="4899" w:type="dxa"/>
            <w:tcBorders/>
            <w:vAlign w:val="center"/>
          </w:tcPr>
          <w:p>
            <w:pPr>
              <w:pStyle w:val="style0"/>
              <w:spacing w:lineRule="auto" w:line="360"/>
              <w:rPr>
                <w:rFonts w:ascii="宋体" w:eastAsia="宋体" w:hAnsi="宋体"/>
                <w:szCs w:val="21"/>
              </w:rPr>
            </w:pPr>
            <w:r>
              <w:rPr>
                <w:rFonts w:ascii="宋体" w:eastAsia="宋体" w:hAnsi="宋体" w:hint="eastAsia"/>
                <w:szCs w:val="21"/>
              </w:rPr>
              <w:t>屏幕尺寸：</w:t>
            </w:r>
            <w:r>
              <w:rPr>
                <w:rFonts w:ascii="宋体" w:eastAsia="宋体" w:hAnsi="宋体"/>
                <w:szCs w:val="21"/>
              </w:rPr>
              <w:t>≥</w:t>
            </w:r>
            <w:r>
              <w:rPr>
                <w:rFonts w:ascii="宋体" w:eastAsia="宋体" w:hAnsi="宋体" w:hint="eastAsia"/>
                <w:szCs w:val="21"/>
              </w:rPr>
              <w:t>65</w:t>
            </w:r>
            <w:r>
              <w:rPr>
                <w:rFonts w:ascii="宋体" w:eastAsia="宋体" w:hAnsi="宋体"/>
                <w:szCs w:val="21"/>
              </w:rPr>
              <w:t>英寸</w:t>
            </w:r>
          </w:p>
          <w:p>
            <w:pPr>
              <w:pStyle w:val="style0"/>
              <w:spacing w:lineRule="auto" w:line="360"/>
              <w:rPr>
                <w:rFonts w:ascii="宋体" w:eastAsia="宋体" w:hAnsi="宋体"/>
                <w:szCs w:val="21"/>
              </w:rPr>
            </w:pPr>
            <w:r>
              <w:rPr>
                <w:rFonts w:ascii="宋体" w:eastAsia="宋体" w:hAnsi="宋体" w:hint="eastAsia"/>
                <w:szCs w:val="21"/>
              </w:rPr>
              <w:t>屏幕比例：16:9</w:t>
            </w:r>
          </w:p>
          <w:p>
            <w:pPr>
              <w:pStyle w:val="style0"/>
              <w:spacing w:lineRule="auto" w:line="360"/>
              <w:rPr>
                <w:rFonts w:ascii="宋体" w:eastAsia="宋体" w:hAnsi="宋体"/>
                <w:szCs w:val="21"/>
              </w:rPr>
            </w:pPr>
            <w:r>
              <w:rPr>
                <w:rFonts w:ascii="宋体" w:eastAsia="宋体" w:hAnsi="宋体" w:hint="eastAsia"/>
                <w:szCs w:val="21"/>
              </w:rPr>
              <w:t>存储内存≥32</w:t>
            </w:r>
            <w:r>
              <w:rPr>
                <w:rFonts w:ascii="宋体" w:eastAsia="宋体" w:hAnsi="宋体"/>
                <w:szCs w:val="21"/>
              </w:rPr>
              <w:t>G</w:t>
            </w:r>
          </w:p>
          <w:p>
            <w:pPr>
              <w:pStyle w:val="style0"/>
              <w:spacing w:lineRule="auto" w:line="360"/>
              <w:rPr>
                <w:rFonts w:ascii="宋体" w:eastAsia="宋体" w:hAnsi="宋体"/>
                <w:szCs w:val="21"/>
              </w:rPr>
            </w:pPr>
            <w:r>
              <w:rPr>
                <w:rFonts w:ascii="宋体" w:eastAsia="宋体" w:hAnsi="宋体" w:hint="eastAsia"/>
                <w:szCs w:val="21"/>
              </w:rPr>
              <w:t>网络连接：有线或</w:t>
            </w:r>
            <w:r>
              <w:rPr>
                <w:rFonts w:ascii="宋体" w:eastAsia="宋体" w:hAnsi="宋体"/>
                <w:szCs w:val="21"/>
              </w:rPr>
              <w:t>WIFI</w:t>
            </w:r>
          </w:p>
        </w:tc>
      </w:tr>
      <w:tr>
        <w:tblPrEx/>
        <w:trPr>
          <w:jc w:val="center"/>
        </w:trPr>
        <w:tc>
          <w:tcPr>
            <w:tcW w:w="8296" w:type="dxa"/>
            <w:gridSpan w:val="5"/>
            <w:tcBorders/>
            <w:vAlign w:val="center"/>
          </w:tcPr>
          <w:p>
            <w:pPr>
              <w:pStyle w:val="style0"/>
              <w:spacing w:lineRule="auto" w:line="360"/>
              <w:rPr>
                <w:rFonts w:ascii="宋体" w:eastAsia="宋体" w:hAnsi="宋体"/>
                <w:szCs w:val="21"/>
              </w:rPr>
            </w:pPr>
            <w:r>
              <w:rPr>
                <w:rFonts w:ascii="宋体" w:eastAsia="宋体" w:hAnsi="宋体" w:hint="eastAsia"/>
                <w:szCs w:val="21"/>
              </w:rPr>
              <w:t>备注：新增</w:t>
            </w:r>
            <w:r>
              <w:rPr>
                <w:rFonts w:ascii="宋体" w:eastAsia="宋体" w:hAnsi="宋体" w:hint="eastAsia"/>
                <w:szCs w:val="21"/>
              </w:rPr>
              <w:t>和</w:t>
            </w:r>
            <w:r>
              <w:rPr>
                <w:rFonts w:ascii="宋体" w:eastAsia="宋体" w:hAnsi="宋体" w:hint="eastAsia"/>
                <w:szCs w:val="21"/>
              </w:rPr>
              <w:t>利旧</w:t>
            </w:r>
            <w:r>
              <w:rPr>
                <w:rFonts w:ascii="宋体" w:eastAsia="宋体" w:hAnsi="宋体" w:hint="eastAsia"/>
                <w:szCs w:val="21"/>
              </w:rPr>
              <w:t>的</w:t>
            </w:r>
            <w:r>
              <w:rPr>
                <w:rFonts w:ascii="宋体" w:eastAsia="宋体" w:hAnsi="宋体" w:hint="eastAsia"/>
                <w:szCs w:val="21"/>
              </w:rPr>
              <w:t>硬件均包含安装、线材、人工</w:t>
            </w:r>
            <w:r>
              <w:rPr>
                <w:rFonts w:ascii="宋体" w:eastAsia="宋体" w:hAnsi="宋体" w:hint="eastAsia"/>
                <w:szCs w:val="21"/>
              </w:rPr>
              <w:t>、调试</w:t>
            </w:r>
            <w:r>
              <w:rPr>
                <w:rFonts w:ascii="宋体" w:eastAsia="宋体" w:hAnsi="宋体" w:hint="eastAsia"/>
                <w:szCs w:val="21"/>
              </w:rPr>
              <w:t>等费用</w:t>
            </w:r>
          </w:p>
        </w:tc>
      </w:tr>
    </w:tbl>
    <w:p>
      <w:pPr>
        <w:pStyle w:val="style179"/>
        <w:spacing w:lineRule="auto" w:line="360"/>
        <w:ind w:firstLine="0" w:firstLineChars="0"/>
        <w:rPr>
          <w:rFonts w:ascii="宋体" w:eastAsia="宋体" w:hAnsi="宋体"/>
          <w:b/>
          <w:bCs/>
          <w:sz w:val="24"/>
          <w:szCs w:val="2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三、</w:t>
      </w:r>
      <w:r>
        <w:rPr>
          <w:rFonts w:ascii="宋体" w:eastAsia="宋体" w:hAnsi="宋体" w:hint="eastAsia"/>
          <w:b/>
          <w:bCs/>
          <w:sz w:val="24"/>
          <w:szCs w:val="24"/>
        </w:rPr>
        <w:t>个性化需求</w:t>
      </w:r>
    </w:p>
    <w:p>
      <w:pPr>
        <w:pStyle w:val="style0"/>
        <w:spacing w:lineRule="auto" w:line="360"/>
        <w:ind w:firstLine="480" w:firstLineChars="200"/>
        <w:rPr>
          <w:rFonts w:ascii="宋体" w:eastAsia="宋体" w:hAnsi="宋体"/>
          <w:sz w:val="24"/>
          <w:szCs w:val="24"/>
        </w:rPr>
      </w:pPr>
      <w:r>
        <w:rPr>
          <w:rFonts w:ascii="宋体" w:eastAsia="宋体" w:hAnsi="宋体"/>
          <w:sz w:val="24"/>
          <w:szCs w:val="24"/>
        </w:rPr>
        <w:t>3.1</w:t>
      </w:r>
      <w:r>
        <w:rPr>
          <w:rFonts w:ascii="宋体" w:eastAsia="宋体" w:hAnsi="宋体"/>
          <w:sz w:val="24"/>
          <w:szCs w:val="24"/>
        </w:rPr>
        <w:t xml:space="preserve"> </w:t>
      </w:r>
      <w:r>
        <w:rPr>
          <w:rFonts w:ascii="宋体" w:eastAsia="宋体" w:hAnsi="宋体" w:hint="eastAsia"/>
          <w:sz w:val="24"/>
          <w:szCs w:val="24"/>
        </w:rPr>
        <w:t>手术信息推送功能</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.1.1</w:t>
      </w:r>
      <w:r>
        <w:rPr>
          <w:rFonts w:ascii="宋体" w:eastAsia="宋体" w:hAnsi="宋体" w:hint="eastAsia"/>
          <w:sz w:val="24"/>
          <w:szCs w:val="24"/>
        </w:rPr>
        <w:t>医生端：</w:t>
      </w:r>
      <w:r>
        <w:rPr>
          <w:rFonts w:ascii="宋体" w:eastAsia="宋体" w:hAnsi="宋体" w:hint="eastAsia"/>
          <w:sz w:val="24"/>
          <w:szCs w:val="24"/>
        </w:rPr>
        <w:t>通过</w:t>
      </w:r>
      <w:r>
        <w:rPr>
          <w:rFonts w:ascii="宋体" w:eastAsia="宋体" w:hAnsi="宋体" w:hint="eastAsia"/>
          <w:sz w:val="24"/>
          <w:szCs w:val="24"/>
        </w:rPr>
        <w:t>企业微信推送手术信息</w:t>
      </w:r>
      <w:r>
        <w:rPr>
          <w:rFonts w:ascii="宋体" w:eastAsia="宋体" w:hAnsi="宋体" w:hint="eastAsia"/>
          <w:sz w:val="24"/>
          <w:szCs w:val="24"/>
        </w:rPr>
        <w:t>，主要包含</w:t>
      </w:r>
      <w:r>
        <w:rPr>
          <w:rFonts w:ascii="宋体" w:eastAsia="宋体" w:hAnsi="宋体" w:hint="eastAsia"/>
          <w:sz w:val="24"/>
          <w:szCs w:val="24"/>
        </w:rPr>
        <w:t>申请科室、床号、病</w:t>
      </w:r>
      <w:r>
        <w:rPr>
          <w:rFonts w:ascii="宋体" w:eastAsia="宋体" w:hAnsi="宋体" w:hint="eastAsia"/>
          <w:sz w:val="24"/>
          <w:szCs w:val="24"/>
        </w:rPr>
        <w:t>人姓名、手术间、闭环手术状态及其时间节点</w:t>
      </w:r>
      <w:r>
        <w:rPr>
          <w:rFonts w:ascii="宋体" w:eastAsia="宋体" w:hAnsi="宋体" w:hint="eastAsia"/>
          <w:sz w:val="24"/>
          <w:szCs w:val="24"/>
        </w:rPr>
        <w:t>（主刀、一助）</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.1.2</w:t>
      </w:r>
      <w:r>
        <w:rPr>
          <w:rFonts w:ascii="宋体" w:eastAsia="宋体" w:hAnsi="宋体" w:hint="eastAsia"/>
          <w:sz w:val="24"/>
          <w:szCs w:val="24"/>
        </w:rPr>
        <w:t>患者端：通过短信推送手术信息，主要包含病人姓名，闭环状态及其时间节点（患者本人及其授权委托）</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sz w:val="24"/>
          <w:szCs w:val="24"/>
        </w:rPr>
        <w:t>2</w:t>
      </w:r>
      <w:r>
        <w:rPr>
          <w:rFonts w:ascii="宋体" w:eastAsia="宋体" w:hAnsi="宋体" w:hint="eastAsia"/>
          <w:sz w:val="24"/>
          <w:szCs w:val="24"/>
        </w:rPr>
        <w:t>各院区</w:t>
      </w:r>
      <w:r>
        <w:rPr>
          <w:rFonts w:ascii="宋体" w:eastAsia="宋体" w:hAnsi="宋体" w:hint="eastAsia"/>
          <w:sz w:val="24"/>
          <w:szCs w:val="24"/>
        </w:rPr>
        <w:t>护士站设立中央监护大屏，</w:t>
      </w:r>
      <w:r>
        <w:rPr>
          <w:rFonts w:ascii="宋体" w:eastAsia="宋体" w:hAnsi="宋体" w:hint="eastAsia"/>
          <w:sz w:val="24"/>
          <w:szCs w:val="24"/>
        </w:rPr>
        <w:t>具备数据集中采集及展示功能</w:t>
      </w:r>
      <w:r>
        <w:rPr>
          <w:rFonts w:ascii="宋体" w:eastAsia="宋体" w:hAnsi="宋体"/>
          <w:sz w:val="24"/>
          <w:szCs w:val="24"/>
        </w:rPr>
        <w:t xml:space="preserve"> </w:t>
      </w:r>
    </w:p>
    <w:p>
      <w:pPr>
        <w:pStyle w:val="style179"/>
        <w:spacing w:lineRule="auto" w:line="360"/>
        <w:ind w:firstLine="480"/>
        <w:rPr>
          <w:rFonts w:ascii="宋体" w:eastAsia="宋体" w:hAnsi="宋体" w:hint="eastAsia"/>
          <w:sz w:val="24"/>
          <w:szCs w:val="24"/>
        </w:rPr>
      </w:pPr>
      <w:r>
        <w:rPr>
          <w:rFonts w:ascii="宋体" w:eastAsia="宋体" w:hAnsi="宋体"/>
          <w:sz w:val="24"/>
          <w:szCs w:val="24"/>
        </w:rPr>
        <w:t>3.</w:t>
      </w:r>
      <w:r>
        <w:rPr>
          <w:rFonts w:ascii="宋体" w:eastAsia="宋体" w:hAnsi="宋体"/>
          <w:sz w:val="24"/>
          <w:szCs w:val="24"/>
        </w:rPr>
        <w:t>3</w:t>
      </w:r>
      <w:r>
        <w:rPr>
          <w:rFonts w:ascii="宋体" w:eastAsia="宋体" w:hAnsi="宋体" w:hint="eastAsia"/>
          <w:sz w:val="24"/>
          <w:szCs w:val="24"/>
        </w:rPr>
        <w:t>配合科室完成各类</w:t>
      </w:r>
      <w:r>
        <w:rPr>
          <w:rFonts w:ascii="宋体" w:eastAsia="宋体" w:hAnsi="宋体" w:hint="eastAsia"/>
          <w:sz w:val="24"/>
          <w:szCs w:val="24"/>
        </w:rPr>
        <w:t>统计</w:t>
      </w:r>
      <w:r>
        <w:rPr>
          <w:rFonts w:ascii="宋体" w:eastAsia="宋体" w:hAnsi="宋体" w:hint="eastAsia"/>
          <w:sz w:val="24"/>
          <w:szCs w:val="24"/>
        </w:rPr>
        <w:t>报表、麻醉同意书</w:t>
      </w:r>
      <w:r>
        <w:rPr>
          <w:rFonts w:ascii="宋体" w:eastAsia="宋体" w:hAnsi="宋体" w:hint="eastAsia"/>
          <w:sz w:val="24"/>
          <w:szCs w:val="24"/>
        </w:rPr>
        <w:t>的模板定制</w:t>
      </w:r>
    </w:p>
    <w:p>
      <w:pPr>
        <w:pStyle w:val="style179"/>
        <w:spacing w:lineRule="auto" w:line="360"/>
        <w:ind w:firstLine="480"/>
        <w:rPr>
          <w:rFonts w:ascii="宋体" w:eastAsia="宋体" w:hAnsi="宋体"/>
          <w:sz w:val="24"/>
          <w:szCs w:val="24"/>
        </w:rPr>
      </w:pPr>
      <w:r>
        <w:rPr>
          <w:rFonts w:ascii="宋体" w:eastAsia="宋体" w:hAnsi="宋体" w:hint="default"/>
          <w:sz w:val="24"/>
          <w:szCs w:val="24"/>
          <w:lang w:val="en-US"/>
        </w:rPr>
        <w:t>3.4关联手术行为管理系统，将手术医师领用衣鞋、进入手术区域及手术间时间联合麻醉信息系统中相关时间点生成手术室利用率、手术室接台率等指标。</w:t>
      </w: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四、</w:t>
      </w:r>
      <w:r>
        <w:rPr>
          <w:rFonts w:ascii="宋体" w:eastAsia="宋体" w:hAnsi="宋体" w:hint="eastAsia"/>
          <w:b/>
          <w:bCs/>
          <w:sz w:val="24"/>
          <w:szCs w:val="24"/>
        </w:rPr>
        <w:t>对接口及系统改造的要求</w:t>
      </w:r>
    </w:p>
    <w:p>
      <w:pPr>
        <w:pStyle w:val="style179"/>
        <w:spacing w:lineRule="auto" w:line="360"/>
        <w:ind w:firstLine="0" w:firstLineChars="0"/>
        <w:rPr>
          <w:rFonts w:ascii="宋体" w:eastAsia="宋体" w:hAnsi="宋体"/>
          <w:sz w:val="24"/>
          <w:szCs w:val="24"/>
        </w:rPr>
      </w:pPr>
      <w:r>
        <w:rPr>
          <w:rFonts w:ascii="宋体" w:eastAsia="宋体" w:hAnsi="宋体" w:hint="eastAsia"/>
          <w:sz w:val="24"/>
          <w:szCs w:val="24"/>
        </w:rPr>
        <w:t>质保期</w:t>
      </w:r>
      <w:r>
        <w:rPr>
          <w:rFonts w:ascii="宋体" w:eastAsia="宋体" w:hAnsi="宋体" w:hint="eastAsia"/>
          <w:sz w:val="24"/>
          <w:szCs w:val="24"/>
        </w:rPr>
        <w:t>和</w:t>
      </w:r>
      <w:r>
        <w:rPr>
          <w:rFonts w:ascii="宋体" w:eastAsia="宋体" w:hAnsi="宋体" w:hint="eastAsia"/>
          <w:sz w:val="24"/>
          <w:szCs w:val="24"/>
        </w:rPr>
        <w:t>维保</w:t>
      </w:r>
      <w:r>
        <w:rPr>
          <w:rFonts w:ascii="宋体" w:eastAsia="宋体" w:hAnsi="宋体" w:hint="eastAsia"/>
          <w:sz w:val="24"/>
          <w:szCs w:val="24"/>
        </w:rPr>
        <w:t>期内免费实现以下要求：</w:t>
      </w:r>
    </w:p>
    <w:p>
      <w:pPr>
        <w:pStyle w:val="style179"/>
        <w:spacing w:lineRule="auto" w:line="360"/>
        <w:ind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.1提供全面的接口技术，与第三方系统共享数据和功能，这些接口技术包括中间件技术接口、WEBSEVICE通用接口、数据库级接口、文件文本接口等。</w:t>
      </w:r>
    </w:p>
    <w:p>
      <w:pPr>
        <w:pStyle w:val="style179"/>
        <w:spacing w:lineRule="auto" w:line="360"/>
        <w:ind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pStyle w:val="style179"/>
        <w:spacing w:lineRule="auto" w:line="360"/>
        <w:ind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style179"/>
        <w:spacing w:lineRule="auto" w:line="360"/>
        <w:ind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.4提供软件免费升级及个性化修改服务，免费实现院方的个性化需求；软件自身错误类问题提供永久性免费修改服务；</w:t>
      </w:r>
    </w:p>
    <w:p>
      <w:pPr>
        <w:pStyle w:val="style179"/>
        <w:spacing w:lineRule="auto" w:line="360"/>
        <w:ind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.5免费提供医院新增业务信息系统的对接、免费实现医院上级管理部门要求的系统接口对接要求。</w:t>
      </w:r>
    </w:p>
    <w:p>
      <w:pPr>
        <w:pStyle w:val="style179"/>
        <w:spacing w:lineRule="auto" w:line="360"/>
        <w:ind w:firstLine="0" w:firstLineChars="0"/>
        <w:rPr>
          <w:rFonts w:ascii="宋体" w:eastAsia="宋体" w:hAnsi="宋体"/>
          <w:sz w:val="24"/>
          <w:szCs w:val="2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五</w:t>
      </w:r>
      <w:r>
        <w:rPr>
          <w:rFonts w:ascii="宋体" w:eastAsia="宋体" w:hAnsi="宋体" w:hint="eastAsia"/>
          <w:b/>
          <w:bCs/>
          <w:sz w:val="24"/>
          <w:szCs w:val="24"/>
        </w:rPr>
        <w:t>、项目实施要求</w:t>
      </w:r>
    </w:p>
    <w:p>
      <w:pPr>
        <w:pStyle w:val="style179"/>
        <w:spacing w:lineRule="auto" w:line="360"/>
        <w:ind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.1时间：合同签订后， 7个工作日内项目实施人员进场，</w:t>
      </w:r>
      <w:r>
        <w:rPr>
          <w:rFonts w:ascii="宋体" w:eastAsia="宋体" w:hAnsi="宋体"/>
          <w:sz w:val="24"/>
          <w:szCs w:val="24"/>
        </w:rPr>
        <w:t>2</w:t>
      </w:r>
      <w:r>
        <w:rPr>
          <w:rFonts w:ascii="宋体" w:eastAsia="宋体" w:hAnsi="宋体" w:hint="eastAsia"/>
          <w:sz w:val="24"/>
          <w:szCs w:val="24"/>
        </w:rPr>
        <w:t>个月内完成设备安装、软件调试及上线。乙方需提供实施工作计划文档交给甲方。</w:t>
      </w:r>
    </w:p>
    <w:p>
      <w:pPr>
        <w:pStyle w:val="style179"/>
        <w:spacing w:lineRule="auto" w:line="360"/>
        <w:ind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.2 驻场人员：</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开发工程师：需进行项目开发的，项目开发工程师需有2年以上同类型项目开发经验的原厂工程师。项目实施和上线阶段，驻场开发人员不得少于1人。</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需更换驻场人员，乙方需提交书面申请，经甲方同意才可更换。</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提供项目原厂驻场人员清单（含项目开发和项目实施人员），标明驻场人员详细信息（姓名、联系方式、技术职称等）。</w:t>
      </w:r>
    </w:p>
    <w:p>
      <w:pPr>
        <w:pStyle w:val="style179"/>
        <w:spacing w:lineRule="auto" w:line="360"/>
        <w:ind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.3因乙方与甲方存在对需求理解有差异的可能性，要求所有设备功能及软件功能需求的响应以甲方意见为准。</w:t>
      </w:r>
    </w:p>
    <w:p>
      <w:pPr>
        <w:pStyle w:val="style179"/>
        <w:spacing w:lineRule="auto" w:line="360"/>
        <w:ind w:firstLine="480"/>
        <w:rPr>
          <w:rFonts w:ascii="宋体" w:eastAsia="宋体" w:hAnsi="宋体"/>
          <w:sz w:val="24"/>
          <w:szCs w:val="2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六</w:t>
      </w:r>
      <w:r>
        <w:rPr>
          <w:rFonts w:ascii="宋体" w:eastAsia="宋体" w:hAnsi="宋体" w:hint="eastAsia"/>
          <w:b/>
          <w:bCs/>
          <w:sz w:val="24"/>
          <w:szCs w:val="24"/>
        </w:rPr>
        <w:t>、售后服务及其他要求</w:t>
      </w:r>
    </w:p>
    <w:p>
      <w:pPr>
        <w:pStyle w:val="style179"/>
        <w:spacing w:lineRule="auto" w:line="360"/>
        <w:ind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.1自本项目整体最终验收之日起，所有产品要求提供三年的免费</w:t>
      </w:r>
      <w:r>
        <w:rPr>
          <w:rFonts w:ascii="宋体" w:eastAsia="宋体" w:hAnsi="宋体" w:hint="eastAsia"/>
          <w:sz w:val="24"/>
          <w:szCs w:val="24"/>
        </w:rPr>
        <w:t>质保</w:t>
      </w:r>
      <w:r>
        <w:rPr>
          <w:rFonts w:ascii="宋体" w:eastAsia="宋体" w:hAnsi="宋体"/>
          <w:sz w:val="24"/>
          <w:szCs w:val="24"/>
        </w:rPr>
        <w:t>服务。含软硬件维护和系统软件升级、技术支持服务、系统管理及操作培训，免费提供系统个性化修改需求。请详细说明售后服务的内容和</w:t>
      </w:r>
      <w:r>
        <w:rPr>
          <w:rFonts w:ascii="宋体" w:eastAsia="宋体" w:hAnsi="宋体" w:hint="eastAsia"/>
          <w:sz w:val="24"/>
          <w:szCs w:val="24"/>
        </w:rPr>
        <w:t>质保</w:t>
      </w:r>
      <w:r>
        <w:rPr>
          <w:rFonts w:ascii="宋体" w:eastAsia="宋体" w:hAnsi="宋体"/>
          <w:sz w:val="24"/>
          <w:szCs w:val="24"/>
        </w:rPr>
        <w:t>方案以及</w:t>
      </w:r>
      <w:r>
        <w:rPr>
          <w:rFonts w:ascii="宋体" w:eastAsia="宋体" w:hAnsi="宋体" w:hint="eastAsia"/>
          <w:sz w:val="24"/>
          <w:szCs w:val="24"/>
        </w:rPr>
        <w:t>质保</w:t>
      </w:r>
      <w:r>
        <w:rPr>
          <w:rFonts w:ascii="宋体" w:eastAsia="宋体" w:hAnsi="宋体"/>
          <w:sz w:val="24"/>
          <w:szCs w:val="24"/>
        </w:rPr>
        <w:t>期后续保方案及费用。</w:t>
      </w:r>
    </w:p>
    <w:p>
      <w:pPr>
        <w:pStyle w:val="style179"/>
        <w:spacing w:lineRule="auto" w:line="360"/>
        <w:ind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.2安装调试要求：免费送货上门、安装调试、提供完善的设备及软件系统使用中文操作手册、图纸、网络详细拓扑图、系统配置、功能配置、设备配置及互联记录；</w:t>
      </w:r>
    </w:p>
    <w:p>
      <w:pPr>
        <w:pStyle w:val="style179"/>
        <w:spacing w:lineRule="auto" w:line="360"/>
        <w:ind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12小时内需到达现场处理修复，并调查分析事故原因，如现场仍不能解决问题，需24小时内免费提供同档次或更高档次的备用设备解决问题。</w:t>
      </w:r>
    </w:p>
    <w:p>
      <w:pPr>
        <w:pStyle w:val="style179"/>
        <w:spacing w:lineRule="auto" w:line="360"/>
        <w:ind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pStyle w:val="style179"/>
        <w:spacing w:lineRule="auto" w:line="360"/>
        <w:ind w:firstLine="0" w:firstLineChars="0"/>
        <w:rPr>
          <w:rFonts w:ascii="宋体" w:eastAsia="宋体" w:hAnsi="宋体"/>
          <w:sz w:val="24"/>
          <w:szCs w:val="2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七</w:t>
      </w:r>
      <w:r>
        <w:rPr>
          <w:rFonts w:ascii="宋体" w:eastAsia="宋体" w:hAnsi="宋体" w:hint="eastAsia"/>
          <w:b/>
          <w:bCs/>
          <w:sz w:val="24"/>
          <w:szCs w:val="24"/>
        </w:rPr>
        <w:t>、违约责任</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.1投标方所提供的产品/软件规格、技术标准、材料等质量不合格的，应及时更换，更换不及时的按逾期交货/交付处罚；因质量问题我院不同意接收，投标方应向我院支付违约货款额5%违约金并赔偿我院经济损失。</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.2若投标方提供的产品或软件侵犯了第三方合法权益而引发的任何纠纷</w:t>
      </w:r>
      <w:r>
        <w:rPr>
          <w:rFonts w:ascii="宋体" w:eastAsia="宋体" w:hAnsi="宋体"/>
          <w:sz w:val="24"/>
          <w:szCs w:val="24"/>
        </w:rPr>
        <w:t>或诉讼，均由投标方负责交涉并承担全部责任。</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.4 投标方逾期交货/交付的，每天向甲方偿付违约货款额3‰违约金，但违约金累计不得超过违约货款额 5% ，超过30天对方有权解除合同，违约方承担因此给对方造成的经济损失；</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.5售后服务违约：</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.5.1每缺少1次现场巡检记录，投标方应向甲方支付违约金5000元；</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.5.2不能按本技术参数文档第5.3要求中按时提供设备备件的，故障上报24小时不能免费提供同档次或更高档次的备用设备解决问题，每超期一天，按500元/天向甲方支付违约金；</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.5.3 投标方未按本技术要求和响应文件中规定的其他服务承诺提供售后服务的，每次投标方应按合同合计金额的5% 向甲方支付违约金。</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w:t>
      </w:r>
      <w:r>
        <w:rPr>
          <w:rFonts w:ascii="宋体" w:eastAsia="宋体" w:hAnsi="宋体" w:hint="eastAsia"/>
          <w:sz w:val="24"/>
          <w:szCs w:val="24"/>
        </w:rPr>
        <w:t>做为违约金支付给甲方。</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.7任何一方违反本技术要求中“保密、廉洁条款”要求的，应承担相应的违约责任并赔偿由此造成的损失，损失累计金额超过合同款项的5%的，损失方同时有权终止合同并收回已付款项。</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8厂商方未按本技术要求和响应文件中规定的其他服务承诺提供售后服务的，按损失情况，每次应按合同合计金额的0.1‰-0.1%由乙方向甲方支付违约金，损失累计金额超过合同款项的5%的，损失方同时有权终止合同并收回已</w:t>
      </w:r>
      <w:r>
        <w:rPr>
          <w:rFonts w:ascii="宋体" w:eastAsia="宋体" w:hAnsi="宋体"/>
          <w:sz w:val="24"/>
          <w:szCs w:val="24"/>
        </w:rPr>
        <w:t>付款项。</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9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.10厂商驻场工程师人员变更必须得到医院书面同意，否则视为乙方违约，甲方有权按5000元/人/次从合同总款中扣除。</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pPr>
        <w:pStyle w:val="style179"/>
        <w:spacing w:lineRule="auto" w:line="360"/>
        <w:ind w:firstLine="0" w:firstLineChars="0"/>
        <w:rPr>
          <w:rFonts w:ascii="宋体" w:eastAsia="宋体" w:hAnsi="宋体"/>
          <w:b/>
          <w:bCs/>
          <w:sz w:val="24"/>
          <w:szCs w:val="2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八</w:t>
      </w:r>
      <w:r>
        <w:rPr>
          <w:rFonts w:ascii="宋体" w:eastAsia="宋体" w:hAnsi="宋体" w:hint="eastAsia"/>
          <w:b/>
          <w:bCs/>
          <w:sz w:val="24"/>
          <w:szCs w:val="24"/>
        </w:rPr>
        <w:t>、保密、廉洁协议</w:t>
      </w:r>
    </w:p>
    <w:p>
      <w:pPr>
        <w:pStyle w:val="style179"/>
        <w:spacing w:lineRule="auto" w:line="360"/>
        <w:ind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Style w:val="style179"/>
        <w:spacing w:lineRule="auto" w:line="360"/>
        <w:ind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.2 双方不得以任何方式向第三方泄露本项目的软件技术、设计方案以及功能配置等内容。</w:t>
      </w:r>
    </w:p>
    <w:p>
      <w:pPr>
        <w:pStyle w:val="style179"/>
        <w:spacing w:lineRule="auto" w:line="360"/>
        <w:ind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.3 不以任何方式向第三方泄露在本协议开发实施过程中获取的经济、技术、数据以及双方其他非公开的信息。</w:t>
      </w:r>
    </w:p>
    <w:p>
      <w:pPr>
        <w:pStyle w:val="style179"/>
        <w:spacing w:lineRule="auto" w:line="360"/>
        <w:ind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Style w:val="style179"/>
        <w:spacing w:lineRule="auto" w:line="360"/>
        <w:ind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.5保密期限自本合同生效之日起永久有效，如乙方需解除保密协议需向甲</w:t>
      </w:r>
      <w:r>
        <w:rPr>
          <w:rFonts w:ascii="宋体" w:eastAsia="宋体" w:hAnsi="宋体"/>
          <w:sz w:val="24"/>
          <w:szCs w:val="24"/>
        </w:rPr>
        <w:t>方提出书面申请，双方协商同意签字确认后方可解除。</w:t>
      </w:r>
    </w:p>
    <w:p>
      <w:pPr>
        <w:pStyle w:val="style179"/>
        <w:spacing w:lineRule="auto" w:line="360"/>
        <w:ind w:firstLine="0" w:firstLineChars="0"/>
        <w:rPr>
          <w:rFonts w:ascii="宋体" w:eastAsia="宋体" w:hAnsi="宋体"/>
          <w:sz w:val="24"/>
          <w:szCs w:val="2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九</w:t>
      </w:r>
      <w:r>
        <w:rPr>
          <w:rFonts w:ascii="宋体" w:eastAsia="宋体" w:hAnsi="宋体" w:hint="eastAsia"/>
          <w:b/>
          <w:bCs/>
          <w:sz w:val="24"/>
          <w:szCs w:val="24"/>
        </w:rPr>
        <w:t>、报价</w:t>
      </w:r>
    </w:p>
    <w:p>
      <w:pPr>
        <w:pStyle w:val="style179"/>
        <w:spacing w:lineRule="auto" w:line="360"/>
        <w:ind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.1竞标文件按系统模块报价，报价表价格包含系统软硬件费用、产品安装、调试实施、培训费用、产品升级、接口费（包括第三方厂家的接口费）等费用，以及明示所有责任、义务和一切风险。</w:t>
      </w:r>
    </w:p>
    <w:p>
      <w:pPr>
        <w:pStyle w:val="style179"/>
        <w:spacing w:lineRule="auto" w:line="360"/>
        <w:ind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.2竞标文件需提供维保期后续保报价。</w:t>
      </w:r>
    </w:p>
    <w:p>
      <w:pPr>
        <w:pStyle w:val="style179"/>
        <w:spacing w:lineRule="auto" w:line="360"/>
        <w:ind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.3竞标文件需提供系统详细图文介绍。系统实施验收参照本技术文档及竞标文件提供的图文介绍为依据。</w:t>
      </w:r>
    </w:p>
    <w:p>
      <w:pPr>
        <w:pStyle w:val="style179"/>
        <w:spacing w:lineRule="auto" w:line="360"/>
        <w:ind w:firstLine="480"/>
        <w:rPr>
          <w:rFonts w:ascii="宋体" w:eastAsia="宋体" w:hAnsi="宋体"/>
          <w:sz w:val="24"/>
          <w:szCs w:val="24"/>
        </w:rPr>
      </w:pPr>
    </w:p>
    <w:p>
      <w:pPr>
        <w:pStyle w:val="style179"/>
        <w:spacing w:lineRule="auto" w:line="360"/>
        <w:ind w:firstLine="0" w:firstLineChars="0"/>
        <w:rPr>
          <w:rFonts w:ascii="宋体" w:eastAsia="宋体" w:hAnsi="宋体"/>
          <w:b/>
          <w:bCs/>
          <w:sz w:val="24"/>
          <w:szCs w:val="24"/>
        </w:rPr>
      </w:pPr>
      <w:r>
        <w:rPr>
          <w:rFonts w:ascii="宋体" w:eastAsia="宋体" w:hAnsi="宋体" w:hint="eastAsia"/>
          <w:b/>
          <w:bCs/>
          <w:sz w:val="24"/>
          <w:szCs w:val="24"/>
        </w:rPr>
        <w:t>十</w:t>
      </w:r>
      <w:r>
        <w:rPr>
          <w:rFonts w:ascii="宋体" w:eastAsia="宋体" w:hAnsi="宋体" w:hint="eastAsia"/>
          <w:b/>
          <w:bCs/>
          <w:sz w:val="24"/>
          <w:szCs w:val="24"/>
        </w:rPr>
        <w:t>、付款方式</w:t>
      </w:r>
    </w:p>
    <w:p>
      <w:pPr>
        <w:pStyle w:val="style179"/>
        <w:spacing w:lineRule="auto" w:line="360"/>
        <w:ind w:firstLine="614" w:firstLineChars="256"/>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80"/>
    <w:link w:val="style4099"/>
    <w:qFormat/>
    <w:pPr/>
    <w:rPr>
      <w:rFonts w:ascii="Times New Roman" w:cs="Times New Roman" w:eastAsia="宋体" w:hAnsi="Times New Roman"/>
      <w:kern w:val="0"/>
      <w:szCs w:val="24"/>
    </w:rPr>
  </w:style>
  <w:style w:type="paragraph" w:styleId="style80">
    <w:name w:val="Body Text 2"/>
    <w:basedOn w:val="style0"/>
    <w:next w:val="style66"/>
    <w:link w:val="style4100"/>
    <w:qFormat/>
    <w:pPr>
      <w:jc w:val="center"/>
    </w:pPr>
    <w:rPr>
      <w:rFonts w:ascii="Times New Roman" w:cs="Times New Roman" w:eastAsia="宋体" w:hAnsi="Times New Roman"/>
      <w:kern w:val="0"/>
      <w:szCs w:val="24"/>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 w:type="character" w:customStyle="1" w:styleId="style4099">
    <w:name w:val="正文文本 字符"/>
    <w:basedOn w:val="style65"/>
    <w:next w:val="style4099"/>
    <w:link w:val="style66"/>
    <w:qFormat/>
    <w:rPr>
      <w:rFonts w:ascii="Times New Roman" w:cs="Times New Roman" w:eastAsia="宋体" w:hAnsi="Times New Roman"/>
      <w:kern w:val="0"/>
      <w:szCs w:val="24"/>
    </w:rPr>
  </w:style>
  <w:style w:type="character" w:customStyle="1" w:styleId="style4100">
    <w:name w:val="正文文本 2 字符"/>
    <w:basedOn w:val="style65"/>
    <w:next w:val="style4100"/>
    <w:link w:val="style80"/>
    <w:qFormat/>
    <w:rPr>
      <w:rFonts w:ascii="Times New Roman" w:cs="Times New Roman" w:eastAsia="宋体" w:hAnsi="Times New Roman"/>
      <w:kern w:val="0"/>
      <w:szCs w:val="24"/>
    </w:rPr>
  </w:style>
  <w:style w:type="paragraph" w:styleId="style153">
    <w:name w:val="Balloon Text"/>
    <w:basedOn w:val="style0"/>
    <w:next w:val="style153"/>
    <w:link w:val="style4101"/>
    <w:uiPriority w:val="99"/>
    <w:pPr/>
    <w:rPr>
      <w:sz w:val="18"/>
      <w:szCs w:val="18"/>
    </w:rPr>
  </w:style>
  <w:style w:type="character" w:customStyle="1" w:styleId="style4101">
    <w:name w:val="批注框文本 字符"/>
    <w:basedOn w:val="style65"/>
    <w:next w:val="style4101"/>
    <w:link w:val="style153"/>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7D59A-AD39-4820-8D86-A05239CF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Words>5685</Words>
  <Pages>9</Pages>
  <Characters>5903</Characters>
  <Application>WPS Office</Application>
  <DocSecurity>0</DocSecurity>
  <Paragraphs>209</Paragraphs>
  <ScaleCrop>false</ScaleCrop>
  <Company>柳州市工人医院</Company>
  <LinksUpToDate>false</LinksUpToDate>
  <CharactersWithSpaces>5922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2024-05-29T03:11:00Z</dcterms:created>
  <dc:creator>柳州市工人医院办公</dc:creator>
  <lastModifiedBy>NOH-AL10</lastModifiedBy>
  <lastPrinted>2024-06-18T03:56:00Z</lastPrinted>
  <dcterms:modified xsi:type="dcterms:W3CDTF">2024-10-12T06:32:51Z</dcterms:modified>
  <revision>39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2aedaf120d754e3c8ded1af9cbe1f5ed_23</vt:lpwstr>
  </property>
</Properties>
</file>