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微软雅黑"/>
          <w:b/>
          <w:bCs/>
          <w:kern w:val="44"/>
          <w:sz w:val="30"/>
          <w:szCs w:val="30"/>
          <w:lang w:eastAsia="zh-CN"/>
        </w:rPr>
      </w:pPr>
      <w:bookmarkStart w:id="0" w:name="_Toc344816509"/>
      <w:r>
        <w:rPr>
          <w:rFonts w:hint="eastAsia" w:ascii="宋体" w:hAnsi="宋体" w:eastAsia="宋体" w:cs="微软雅黑"/>
          <w:b/>
          <w:bCs/>
          <w:kern w:val="44"/>
          <w:sz w:val="30"/>
          <w:szCs w:val="30"/>
        </w:rPr>
        <w:t>柳州市</w:t>
      </w:r>
      <w:r>
        <w:rPr>
          <w:rFonts w:ascii="宋体" w:hAnsi="宋体" w:eastAsia="宋体" w:cs="微软雅黑"/>
          <w:b/>
          <w:bCs/>
          <w:kern w:val="44"/>
          <w:sz w:val="30"/>
          <w:szCs w:val="30"/>
        </w:rPr>
        <w:t>工人医院</w:t>
      </w:r>
      <w:r>
        <w:rPr>
          <w:rFonts w:hint="eastAsia" w:ascii="宋体" w:hAnsi="宋体" w:eastAsia="宋体" w:cs="微软雅黑"/>
          <w:b/>
          <w:bCs/>
          <w:kern w:val="44"/>
          <w:sz w:val="30"/>
          <w:szCs w:val="30"/>
          <w:lang w:eastAsia="zh-CN"/>
        </w:rPr>
        <w:t>生物样本</w:t>
      </w:r>
      <w:r>
        <w:rPr>
          <w:rFonts w:hint="eastAsia" w:ascii="宋体" w:hAnsi="宋体" w:eastAsia="宋体" w:cs="微软雅黑"/>
          <w:b/>
          <w:bCs/>
          <w:kern w:val="44"/>
          <w:sz w:val="30"/>
          <w:szCs w:val="30"/>
        </w:rPr>
        <w:t>系统技术参数</w:t>
      </w:r>
      <w:r>
        <w:rPr>
          <w:rFonts w:hint="eastAsia" w:ascii="宋体" w:hAnsi="宋体" w:eastAsia="宋体" w:cs="微软雅黑"/>
          <w:b/>
          <w:bCs/>
          <w:kern w:val="44"/>
          <w:sz w:val="30"/>
          <w:szCs w:val="30"/>
          <w:lang w:eastAsia="zh-CN"/>
        </w:rPr>
        <w:t>要求</w:t>
      </w:r>
    </w:p>
    <w:p>
      <w:pPr>
        <w:keepNext/>
        <w:keepLines/>
        <w:pageBreakBefore w:val="0"/>
        <w:widowControl w:val="0"/>
        <w:kinsoku/>
        <w:wordWrap/>
        <w:overflowPunct/>
        <w:topLinePunct w:val="0"/>
        <w:autoSpaceDE/>
        <w:autoSpaceDN/>
        <w:bidi w:val="0"/>
        <w:adjustRightInd/>
        <w:snapToGrid/>
        <w:spacing w:line="312" w:lineRule="auto"/>
        <w:ind w:left="420" w:leftChars="200"/>
        <w:jc w:val="left"/>
        <w:textAlignment w:val="auto"/>
        <w:rPr>
          <w:rFonts w:ascii="宋体" w:hAnsi="宋体" w:eastAsia="宋体" w:cs="微软雅黑"/>
          <w:b/>
          <w:bCs/>
          <w:kern w:val="44"/>
          <w:sz w:val="24"/>
          <w:szCs w:val="24"/>
        </w:rPr>
      </w:pPr>
    </w:p>
    <w:bookmarkEnd w:id="0"/>
    <w:p>
      <w:pPr>
        <w:pStyle w:val="9"/>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ascii="宋体" w:hAnsi="宋体" w:eastAsia="宋体"/>
          <w:b/>
          <w:sz w:val="28"/>
          <w:szCs w:val="28"/>
        </w:rPr>
      </w:pPr>
      <w:r>
        <w:rPr>
          <w:rFonts w:hint="eastAsia" w:ascii="宋体" w:hAnsi="宋体" w:eastAsia="宋体"/>
          <w:b/>
          <w:sz w:val="28"/>
          <w:szCs w:val="28"/>
        </w:rPr>
        <w:t>项目背景</w:t>
      </w:r>
    </w:p>
    <w:p>
      <w:pPr>
        <w:pageBreakBefore w:val="0"/>
        <w:widowControl w:val="0"/>
        <w:kinsoku/>
        <w:wordWrap/>
        <w:overflowPunct/>
        <w:topLinePunct w:val="0"/>
        <w:autoSpaceDE/>
        <w:autoSpaceDN/>
        <w:bidi w:val="0"/>
        <w:adjustRightInd/>
        <w:snapToGrid/>
        <w:spacing w:line="312" w:lineRule="auto"/>
        <w:ind w:firstLine="420" w:firstLineChars="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我院拥有广西区级临床重点专科及临床重点（建设）专科9个，柳州市级重点专科17个。近年来，获各级科研立项500余项，其中国家自然科学基金项目22项，以国家目标和战略需求为导向，加强科研平台和基础设施建设，积极推进国家生物信息中心和人类遗传资源库、生物医学大数据等等重大战略资源平台建设，构建各类生物样本资源平台，支持临床科学研究及科研项目研究以及数字化生物样本信息平台的建设，并采用数字化手段实现实现生物样本全面管理智能化，实现精准医学数据整合管理与共享，建立规范的数据库，建立规范的共享规则与流程，提供最好的平台。</w:t>
      </w:r>
    </w:p>
    <w:p>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通过信息化平台的建设，能够帮助我院建立规范、统一的生物样本库信息管理平台，通过建立虚拟样本库统筹管理各科室和对外合作单位的生物样本，满足样本的合理收集、完善信息、合作利用等临床科研需要。</w:t>
      </w:r>
    </w:p>
    <w:p>
      <w:pPr>
        <w:pStyle w:val="2"/>
        <w:rPr>
          <w:rFonts w:hint="eastAsia"/>
          <w:lang w:val="en-US" w:eastAsia="zh-CN"/>
        </w:rPr>
      </w:pPr>
    </w:p>
    <w:p>
      <w:pPr>
        <w:pStyle w:val="9"/>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宋体" w:hAnsi="宋体" w:eastAsia="宋体"/>
          <w:b/>
          <w:sz w:val="28"/>
          <w:szCs w:val="28"/>
          <w:lang w:val="en-US" w:eastAsia="zh-CN"/>
        </w:rPr>
      </w:pPr>
      <w:r>
        <w:rPr>
          <w:rFonts w:hint="eastAsia" w:ascii="宋体" w:hAnsi="宋体" w:eastAsia="宋体"/>
          <w:b/>
          <w:sz w:val="28"/>
          <w:szCs w:val="28"/>
          <w:lang w:val="en-US" w:eastAsia="zh-CN"/>
        </w:rPr>
        <w:t>总体要求</w:t>
      </w:r>
    </w:p>
    <w:p>
      <w:pPr>
        <w:pStyle w:val="13"/>
        <w:numPr>
          <w:ilvl w:val="0"/>
          <w:numId w:val="0"/>
        </w:numPr>
        <w:spacing w:line="360" w:lineRule="auto"/>
        <w:ind w:leftChars="0" w:firstLine="42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2.1系统应符合安全、高效、标准化、开放、人机友好型的原则；提供更好的用户体验，提升系统操作的简易性，和数据交互能力</w:t>
      </w:r>
    </w:p>
    <w:p>
      <w:pPr>
        <w:spacing w:line="360" w:lineRule="auto"/>
        <w:ind w:firstLine="420" w:firstLineChars="0"/>
        <w:contextualSpacing/>
        <w:jc w:val="left"/>
        <w:outlineLvl w:val="4"/>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2.2 系统统一设计分布实施，在保证系统健壮性和可靠性的同时，还必须保证系统和信息的高安全性；</w:t>
      </w:r>
    </w:p>
    <w:p>
      <w:pPr>
        <w:spacing w:line="360" w:lineRule="auto"/>
        <w:ind w:firstLine="420" w:firstLineChars="0"/>
        <w:contextualSpacing/>
        <w:jc w:val="left"/>
        <w:outlineLvl w:val="4"/>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2.3系统遵循目前国际ISBER生物样本库建设通用相关标准，整个系统具有高安全性、高可靠性、高兼容性和可持续扩展性。</w:t>
      </w:r>
    </w:p>
    <w:p>
      <w:pPr>
        <w:pStyle w:val="13"/>
        <w:numPr>
          <w:ilvl w:val="0"/>
          <w:numId w:val="0"/>
        </w:numPr>
        <w:spacing w:line="360" w:lineRule="auto"/>
        <w:ind w:leftChars="0" w:firstLine="42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2.4系统支持灵活配置与升级，采用模块化结构，便于系统扩容、升级；系统应能够灵活、方便地部署和优化业务流程，支持用户前段操作进行业务流程的优化。</w:t>
      </w:r>
    </w:p>
    <w:p>
      <w:pPr>
        <w:pStyle w:val="13"/>
        <w:numPr>
          <w:ilvl w:val="0"/>
          <w:numId w:val="0"/>
        </w:numPr>
        <w:spacing w:line="360" w:lineRule="auto"/>
        <w:ind w:leftChars="0" w:firstLine="420" w:firstLineChars="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2.5 系统用户操作界面友好，用户操作简单直观，易于学习掌握。</w:t>
      </w:r>
    </w:p>
    <w:p>
      <w:pPr>
        <w:spacing w:line="360" w:lineRule="auto"/>
        <w:ind w:firstLine="420" w:firstLineChars="0"/>
        <w:contextualSpacing/>
        <w:jc w:val="left"/>
        <w:outlineLvl w:val="4"/>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2.6系统支持Unix、Windows、Linux主流操作系统，系统部署灵活，便于维护，具备良好的系统兼容性。</w:t>
      </w:r>
    </w:p>
    <w:p>
      <w:pPr>
        <w:spacing w:line="360" w:lineRule="auto"/>
        <w:ind w:firstLine="420" w:firstLineChars="0"/>
        <w:contextualSpacing/>
        <w:jc w:val="left"/>
        <w:outlineLvl w:val="4"/>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2.7系统具有良好的兼容性和适配性，支持虚拟服务器、国产信创服务器上运行，平台支持改造在国产信创电脑上运行。</w:t>
      </w:r>
    </w:p>
    <w:p>
      <w:pPr>
        <w:pStyle w:val="2"/>
        <w:ind w:firstLine="42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2.8系统支持个性化定制，根据客户业务场景定制开发，高度匹配客户应用场景，提高使用的友好性与易用性。</w:t>
      </w:r>
    </w:p>
    <w:p>
      <w:pPr>
        <w:pStyle w:val="2"/>
        <w:ind w:firstLine="42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2.9系统不限制客户端用户数、并发数、不限制管理设备数、不限制管理样本数、不限制子账户数，可通过扩展后台服务器动态增加性能；</w:t>
      </w:r>
    </w:p>
    <w:p>
      <w:pPr>
        <w:pStyle w:val="2"/>
        <w:ind w:firstLine="42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2.10系统支持多个院区共用一个数据库，跨院区信息互通，实现样本管理信息闭环。</w:t>
      </w:r>
    </w:p>
    <w:p>
      <w:pPr>
        <w:pStyle w:val="2"/>
        <w:ind w:firstLine="420" w:firstLineChars="0"/>
        <w:rPr>
          <w:rFonts w:hint="eastAsia" w:ascii="宋体" w:hAnsi="宋体" w:eastAsia="宋体" w:cs="宋体"/>
          <w:color w:val="auto"/>
          <w:kern w:val="0"/>
          <w:sz w:val="24"/>
          <w:szCs w:val="24"/>
          <w:lang w:val="en-US" w:eastAsia="zh-CN" w:bidi="ar-SA"/>
        </w:rPr>
      </w:pPr>
    </w:p>
    <w:p>
      <w:pPr>
        <w:pStyle w:val="9"/>
        <w:pageBreakBefore w:val="0"/>
        <w:widowControl w:val="0"/>
        <w:numPr>
          <w:ilvl w:val="0"/>
          <w:numId w:val="2"/>
        </w:numPr>
        <w:kinsoku/>
        <w:wordWrap/>
        <w:overflowPunct/>
        <w:topLinePunct w:val="0"/>
        <w:autoSpaceDE/>
        <w:autoSpaceDN/>
        <w:bidi w:val="0"/>
        <w:adjustRightInd/>
        <w:snapToGrid/>
        <w:spacing w:line="312" w:lineRule="auto"/>
        <w:ind w:left="720" w:leftChars="0" w:hanging="720" w:firstLineChars="0"/>
        <w:textAlignment w:val="auto"/>
        <w:rPr>
          <w:rFonts w:hint="eastAsia"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系统</w:t>
      </w:r>
      <w:r>
        <w:rPr>
          <w:rFonts w:hint="eastAsia" w:ascii="宋体" w:hAnsi="宋体" w:eastAsia="宋体"/>
          <w:b/>
          <w:color w:val="000000" w:themeColor="text1"/>
          <w:sz w:val="28"/>
          <w:szCs w:val="28"/>
          <w:lang w:eastAsia="zh-CN"/>
          <w14:textFill>
            <w14:solidFill>
              <w14:schemeClr w14:val="tx1"/>
            </w14:solidFill>
          </w14:textFill>
        </w:rPr>
        <w:t>安全</w:t>
      </w:r>
      <w:r>
        <w:rPr>
          <w:rFonts w:hint="eastAsia" w:ascii="宋体" w:hAnsi="宋体" w:eastAsia="宋体"/>
          <w:b/>
          <w:color w:val="000000" w:themeColor="text1"/>
          <w:sz w:val="28"/>
          <w:szCs w:val="28"/>
          <w14:textFill>
            <w14:solidFill>
              <w14:schemeClr w14:val="tx1"/>
            </w14:solidFill>
          </w14:textFill>
        </w:rPr>
        <w:t>要求</w:t>
      </w:r>
    </w:p>
    <w:p>
      <w:pPr>
        <w:spacing w:line="360" w:lineRule="auto"/>
        <w:ind w:firstLine="420" w:firstLineChars="0"/>
        <w:contextualSpacing/>
        <w:jc w:val="left"/>
        <w:outlineLvl w:val="4"/>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3.1 系统从安全管理、应用系统安全（包括权限认证、用户认证、日志审计等多个方面）、数据安全与备份、网络安全、平台安全等多个方面进行安全保障；</w:t>
      </w:r>
    </w:p>
    <w:p>
      <w:pPr>
        <w:spacing w:line="360" w:lineRule="auto"/>
        <w:ind w:firstLine="420" w:firstLineChars="0"/>
        <w:contextualSpacing/>
        <w:jc w:val="left"/>
        <w:outlineLvl w:val="4"/>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3.2 系统采用多种技术保证登录用户的真实和有效性；</w:t>
      </w:r>
    </w:p>
    <w:p>
      <w:pPr>
        <w:spacing w:line="360" w:lineRule="auto"/>
        <w:ind w:firstLine="420" w:firstLineChars="0"/>
        <w:contextualSpacing/>
        <w:jc w:val="left"/>
        <w:outlineLvl w:val="4"/>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3.3 访问控制、权限管理：角色设置，分级授权，确保系统安全；</w:t>
      </w:r>
    </w:p>
    <w:p>
      <w:pPr>
        <w:spacing w:line="360" w:lineRule="auto"/>
        <w:ind w:firstLine="420" w:firstLineChars="0"/>
        <w:contextualSpacing/>
        <w:jc w:val="left"/>
        <w:outlineLvl w:val="4"/>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3.4 完整性和合法性校验：系统会对用户每次提交的数据进行检查；</w:t>
      </w:r>
    </w:p>
    <w:p>
      <w:pPr>
        <w:spacing w:line="360" w:lineRule="auto"/>
        <w:ind w:firstLine="420" w:firstLineChars="0"/>
        <w:contextualSpacing/>
        <w:jc w:val="left"/>
        <w:outlineLvl w:val="4"/>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3.5 系统操作日志记录，提供每个用户的安全审计功能，保证所有审计记录无法修改、删除；</w:t>
      </w:r>
    </w:p>
    <w:p>
      <w:pPr>
        <w:spacing w:line="360" w:lineRule="auto"/>
        <w:ind w:firstLine="420" w:firstLineChars="0"/>
        <w:contextualSpacing/>
        <w:jc w:val="left"/>
        <w:outlineLvl w:val="4"/>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3.6 系统支持自动和手动备份功能。</w:t>
      </w:r>
    </w:p>
    <w:p>
      <w:pPr>
        <w:pStyle w:val="9"/>
        <w:pageBreakBefore w:val="0"/>
        <w:widowControl w:val="0"/>
        <w:numPr>
          <w:ilvl w:val="0"/>
          <w:numId w:val="0"/>
        </w:numPr>
        <w:kinsoku/>
        <w:wordWrap/>
        <w:overflowPunct/>
        <w:topLinePunct w:val="0"/>
        <w:autoSpaceDE/>
        <w:autoSpaceDN/>
        <w:bidi w:val="0"/>
        <w:adjustRightInd/>
        <w:snapToGrid/>
        <w:spacing w:line="312" w:lineRule="auto"/>
        <w:ind w:leftChars="0" w:firstLine="42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3.7 系统支持用户密码复杂度设置、用户登录超过时将自动退出，保证系统和数据的安全性。</w:t>
      </w:r>
    </w:p>
    <w:p>
      <w:pPr>
        <w:pStyle w:val="9"/>
        <w:pageBreakBefore w:val="0"/>
        <w:widowControl w:val="0"/>
        <w:numPr>
          <w:ilvl w:val="0"/>
          <w:numId w:val="0"/>
        </w:numPr>
        <w:kinsoku/>
        <w:wordWrap/>
        <w:overflowPunct/>
        <w:topLinePunct w:val="0"/>
        <w:autoSpaceDE/>
        <w:autoSpaceDN/>
        <w:bidi w:val="0"/>
        <w:adjustRightInd/>
        <w:snapToGrid/>
        <w:spacing w:line="312" w:lineRule="auto"/>
        <w:ind w:leftChars="0" w:firstLine="420" w:firstLineChars="0"/>
        <w:textAlignment w:val="auto"/>
        <w:rPr>
          <w:rFonts w:hint="eastAsia" w:ascii="宋体" w:hAnsi="宋体" w:eastAsia="宋体" w:cs="宋体"/>
          <w:color w:val="auto"/>
          <w:kern w:val="0"/>
          <w:sz w:val="24"/>
          <w:szCs w:val="24"/>
          <w:lang w:val="en-US" w:eastAsia="zh-CN" w:bidi="ar-SA"/>
        </w:rPr>
      </w:pPr>
    </w:p>
    <w:p>
      <w:pPr>
        <w:pStyle w:val="9"/>
        <w:pageBreakBefore w:val="0"/>
        <w:widowControl w:val="0"/>
        <w:numPr>
          <w:ilvl w:val="0"/>
          <w:numId w:val="2"/>
        </w:numPr>
        <w:kinsoku/>
        <w:wordWrap/>
        <w:overflowPunct/>
        <w:topLinePunct w:val="0"/>
        <w:autoSpaceDE/>
        <w:autoSpaceDN/>
        <w:bidi w:val="0"/>
        <w:adjustRightInd/>
        <w:snapToGrid/>
        <w:spacing w:line="312" w:lineRule="auto"/>
        <w:ind w:left="720" w:leftChars="0" w:hanging="720" w:firstLineChars="0"/>
        <w:textAlignment w:val="auto"/>
        <w:rPr>
          <w:rFonts w:hint="eastAsia"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lang w:eastAsia="zh-CN"/>
          <w14:textFill>
            <w14:solidFill>
              <w14:schemeClr w14:val="tx1"/>
            </w14:solidFill>
          </w14:textFill>
        </w:rPr>
        <w:t>系统功能及硬件</w:t>
      </w:r>
      <w:r>
        <w:rPr>
          <w:rFonts w:hint="eastAsia" w:ascii="宋体" w:hAnsi="宋体" w:eastAsia="宋体"/>
          <w:b/>
          <w:color w:val="000000" w:themeColor="text1"/>
          <w:sz w:val="28"/>
          <w:szCs w:val="28"/>
          <w14:textFill>
            <w14:solidFill>
              <w14:schemeClr w14:val="tx1"/>
            </w14:solidFill>
          </w14:textFill>
        </w:rPr>
        <w:t>要求</w:t>
      </w:r>
    </w:p>
    <w:p>
      <w:pPr>
        <w:pStyle w:val="2"/>
        <w:ind w:firstLine="420" w:firstLineChars="0"/>
        <w:rPr>
          <w:rFonts w:hint="eastAsia" w:ascii="宋体" w:hAnsi="宋体" w:eastAsia="宋体"/>
          <w:b/>
          <w:sz w:val="28"/>
          <w:szCs w:val="28"/>
          <w:lang w:val="en-US" w:eastAsia="zh-CN"/>
        </w:rPr>
      </w:pPr>
      <w:r>
        <w:rPr>
          <w:rFonts w:hint="eastAsia" w:ascii="宋体" w:hAnsi="宋体" w:eastAsia="宋体"/>
          <w:b/>
          <w:sz w:val="28"/>
          <w:szCs w:val="28"/>
          <w:lang w:val="en-US" w:eastAsia="zh-CN"/>
        </w:rPr>
        <w:t>采购清单</w:t>
      </w:r>
    </w:p>
    <w:tbl>
      <w:tblPr>
        <w:tblStyle w:val="6"/>
        <w:tblW w:w="9026" w:type="dxa"/>
        <w:jc w:val="center"/>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55"/>
        <w:gridCol w:w="876"/>
        <w:gridCol w:w="985"/>
        <w:gridCol w:w="254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854" w:type="dxa"/>
            <w:shd w:val="clear" w:color="auto" w:fill="DCE6F2"/>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sz w:val="24"/>
                <w:shd w:val="clear" w:color="auto" w:fill="auto"/>
              </w:rPr>
            </w:pPr>
            <w:r>
              <w:rPr>
                <w:rFonts w:hint="eastAsia" w:ascii="宋体" w:hAnsi="宋体" w:cs="宋体"/>
                <w:sz w:val="24"/>
                <w:shd w:val="clear" w:color="auto" w:fill="auto"/>
              </w:rPr>
              <w:t>序号</w:t>
            </w:r>
          </w:p>
        </w:tc>
        <w:tc>
          <w:tcPr>
            <w:tcW w:w="1955" w:type="dxa"/>
            <w:shd w:val="clear" w:color="auto" w:fill="DCE6F2"/>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sz w:val="24"/>
                <w:shd w:val="clear" w:color="auto" w:fill="auto"/>
              </w:rPr>
            </w:pPr>
            <w:r>
              <w:rPr>
                <w:rFonts w:hint="eastAsia" w:ascii="宋体" w:hAnsi="宋体" w:cs="宋体"/>
                <w:sz w:val="24"/>
                <w:shd w:val="clear" w:color="auto" w:fill="auto"/>
              </w:rPr>
              <w:t>名称</w:t>
            </w:r>
          </w:p>
        </w:tc>
        <w:tc>
          <w:tcPr>
            <w:tcW w:w="876" w:type="dxa"/>
            <w:shd w:val="clear" w:color="auto" w:fill="DCE6F2"/>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sz w:val="24"/>
                <w:shd w:val="clear" w:color="auto" w:fill="auto"/>
              </w:rPr>
            </w:pPr>
            <w:r>
              <w:rPr>
                <w:rFonts w:hint="eastAsia" w:ascii="宋体" w:hAnsi="宋体" w:cs="宋体"/>
                <w:sz w:val="24"/>
                <w:shd w:val="clear" w:color="auto" w:fill="auto"/>
              </w:rPr>
              <w:t>数量</w:t>
            </w:r>
          </w:p>
        </w:tc>
        <w:tc>
          <w:tcPr>
            <w:tcW w:w="985" w:type="dxa"/>
            <w:shd w:val="clear" w:color="auto" w:fill="DCE6F2"/>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sz w:val="24"/>
                <w:shd w:val="clear" w:color="auto" w:fill="auto"/>
              </w:rPr>
            </w:pPr>
            <w:r>
              <w:rPr>
                <w:rFonts w:hint="eastAsia" w:ascii="宋体" w:hAnsi="宋体" w:cs="宋体"/>
                <w:sz w:val="24"/>
                <w:shd w:val="clear" w:color="auto" w:fill="auto"/>
              </w:rPr>
              <w:t>单位</w:t>
            </w:r>
          </w:p>
        </w:tc>
        <w:tc>
          <w:tcPr>
            <w:tcW w:w="2545" w:type="dxa"/>
            <w:shd w:val="clear" w:color="auto" w:fill="DCE6F2"/>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eastAsiaTheme="minorEastAsia"/>
                <w:sz w:val="24"/>
                <w:shd w:val="clear" w:color="auto" w:fill="auto"/>
                <w:lang w:eastAsia="zh-CN"/>
              </w:rPr>
            </w:pPr>
            <w:r>
              <w:rPr>
                <w:rFonts w:hint="eastAsia" w:ascii="宋体" w:hAnsi="宋体" w:cs="宋体"/>
                <w:sz w:val="24"/>
                <w:shd w:val="clear" w:color="auto" w:fill="auto"/>
                <w:lang w:eastAsia="zh-CN"/>
              </w:rPr>
              <w:t>质保</w:t>
            </w:r>
          </w:p>
        </w:tc>
        <w:tc>
          <w:tcPr>
            <w:tcW w:w="1811" w:type="dxa"/>
            <w:shd w:val="clear" w:color="auto" w:fill="DCE6F2"/>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eastAsiaTheme="minorEastAsia"/>
                <w:sz w:val="24"/>
                <w:shd w:val="clear" w:color="auto" w:fill="auto"/>
                <w:lang w:val="en-US" w:eastAsia="zh-CN"/>
              </w:rPr>
            </w:pPr>
            <w:r>
              <w:rPr>
                <w:rFonts w:hint="eastAsia" w:ascii="宋体" w:hAnsi="宋体" w:cs="宋体"/>
                <w:sz w:val="24"/>
                <w:shd w:val="clear" w:color="auto" w:fill="auto"/>
                <w:lang w:val="en-US" w:eastAsia="zh-CN"/>
              </w:rPr>
              <w:t>供应商/</w:t>
            </w:r>
            <w:r>
              <w:rPr>
                <w:rFonts w:hint="eastAsia" w:ascii="宋体" w:hAnsi="宋体" w:cs="宋体"/>
                <w:sz w:val="24"/>
                <w:shd w:val="clear" w:color="auto" w:fill="auto"/>
                <w:lang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sz w:val="24"/>
              </w:rPr>
            </w:pPr>
            <w:r>
              <w:rPr>
                <w:rFonts w:hint="eastAsia" w:ascii="宋体" w:hAnsi="宋体" w:cs="宋体"/>
                <w:sz w:val="24"/>
              </w:rPr>
              <w:t>1</w:t>
            </w:r>
          </w:p>
        </w:tc>
        <w:tc>
          <w:tcPr>
            <w:tcW w:w="19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eastAsia="宋体" w:cs="宋体"/>
                <w:sz w:val="24"/>
                <w:lang w:eastAsia="zh-CN"/>
              </w:rPr>
            </w:pPr>
            <w:r>
              <w:rPr>
                <w:rFonts w:hint="eastAsia" w:ascii="宋体" w:hAnsi="宋体" w:cs="宋体"/>
                <w:sz w:val="24"/>
                <w:lang w:val="en-US" w:eastAsia="zh-CN"/>
              </w:rPr>
              <w:t>生物样本管理软件</w:t>
            </w:r>
          </w:p>
        </w:tc>
        <w:tc>
          <w:tcPr>
            <w:tcW w:w="876"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sz w:val="24"/>
              </w:rPr>
            </w:pPr>
            <w:r>
              <w:rPr>
                <w:rFonts w:hint="eastAsia" w:ascii="宋体" w:hAnsi="宋体" w:cs="宋体"/>
                <w:sz w:val="24"/>
              </w:rPr>
              <w:t>1</w:t>
            </w:r>
          </w:p>
        </w:tc>
        <w:tc>
          <w:tcPr>
            <w:tcW w:w="98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sz w:val="24"/>
              </w:rPr>
            </w:pPr>
            <w:r>
              <w:rPr>
                <w:rFonts w:hint="eastAsia" w:ascii="宋体" w:hAnsi="宋体" w:cs="宋体"/>
                <w:sz w:val="24"/>
              </w:rPr>
              <w:t>套</w:t>
            </w:r>
          </w:p>
        </w:tc>
        <w:tc>
          <w:tcPr>
            <w:tcW w:w="254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eastAsiaTheme="minorEastAsia"/>
                <w:sz w:val="24"/>
                <w:lang w:val="en-US" w:eastAsia="zh-CN"/>
              </w:rPr>
            </w:pPr>
            <w:r>
              <w:rPr>
                <w:rFonts w:hint="eastAsia" w:ascii="宋体" w:hAnsi="宋体" w:cs="宋体"/>
                <w:sz w:val="24"/>
                <w:lang w:val="en-US" w:eastAsia="zh-CN"/>
              </w:rPr>
              <w:t>三年</w:t>
            </w:r>
          </w:p>
        </w:tc>
        <w:tc>
          <w:tcPr>
            <w:tcW w:w="1811"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4" w:type="dxa"/>
            <w:vMerge w:val="restart"/>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default" w:ascii="宋体" w:hAnsi="宋体" w:cs="宋体" w:eastAsiaTheme="minorEastAsia"/>
                <w:sz w:val="24"/>
                <w:lang w:val="en-US" w:eastAsia="zh-CN"/>
              </w:rPr>
            </w:pPr>
            <w:r>
              <w:rPr>
                <w:rFonts w:hint="eastAsia" w:ascii="宋体" w:hAnsi="宋体" w:cs="宋体"/>
                <w:sz w:val="24"/>
                <w:lang w:val="en-US" w:eastAsia="zh-CN"/>
              </w:rPr>
              <w:t>2</w:t>
            </w:r>
          </w:p>
        </w:tc>
        <w:tc>
          <w:tcPr>
            <w:tcW w:w="19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sz w:val="24"/>
                <w:lang w:eastAsia="zh-Hans"/>
              </w:rPr>
            </w:pPr>
            <w:r>
              <w:rPr>
                <w:rFonts w:hint="eastAsia" w:ascii="宋体" w:hAnsi="宋体" w:eastAsia="宋体"/>
                <w:lang w:eastAsia="zh-CN"/>
              </w:rPr>
              <w:t>条码打印机</w:t>
            </w:r>
          </w:p>
        </w:tc>
        <w:tc>
          <w:tcPr>
            <w:tcW w:w="876"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eastAsiaTheme="minorEastAsia"/>
                <w:sz w:val="24"/>
                <w:lang w:val="en-US" w:eastAsia="zh-CN"/>
              </w:rPr>
            </w:pPr>
            <w:r>
              <w:rPr>
                <w:rFonts w:hint="eastAsia" w:ascii="宋体" w:hAnsi="宋体" w:cs="宋体"/>
                <w:sz w:val="24"/>
                <w:lang w:val="en-US" w:eastAsia="zh-CN"/>
              </w:rPr>
              <w:t>2</w:t>
            </w:r>
          </w:p>
        </w:tc>
        <w:tc>
          <w:tcPr>
            <w:tcW w:w="98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eastAsiaTheme="minorEastAsia"/>
                <w:sz w:val="24"/>
                <w:lang w:eastAsia="zh-CN"/>
              </w:rPr>
            </w:pPr>
            <w:r>
              <w:rPr>
                <w:rFonts w:hint="eastAsia" w:ascii="宋体" w:hAnsi="宋体" w:cs="宋体"/>
                <w:sz w:val="24"/>
                <w:lang w:eastAsia="zh-CN"/>
              </w:rPr>
              <w:t>套</w:t>
            </w:r>
          </w:p>
        </w:tc>
        <w:tc>
          <w:tcPr>
            <w:tcW w:w="254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sz w:val="24"/>
              </w:rPr>
            </w:pPr>
            <w:r>
              <w:rPr>
                <w:rFonts w:hint="eastAsia" w:ascii="宋体" w:hAnsi="宋体" w:cs="宋体"/>
                <w:sz w:val="24"/>
                <w:lang w:val="en-US" w:eastAsia="zh-CN"/>
              </w:rPr>
              <w:t>一年</w:t>
            </w:r>
          </w:p>
        </w:tc>
        <w:tc>
          <w:tcPr>
            <w:tcW w:w="1811"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4" w:type="dxa"/>
            <w:vMerge w:val="continue"/>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sz w:val="24"/>
                <w:lang w:val="en-US" w:eastAsia="zh-CN"/>
              </w:rPr>
            </w:pPr>
          </w:p>
        </w:tc>
        <w:tc>
          <w:tcPr>
            <w:tcW w:w="19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sz w:val="24"/>
                <w:lang w:val="en-US" w:eastAsia="zh-CN"/>
              </w:rPr>
            </w:pPr>
            <w:r>
              <w:rPr>
                <w:rFonts w:hint="eastAsia" w:ascii="宋体" w:hAnsi="宋体" w:eastAsia="宋体"/>
                <w:lang w:eastAsia="zh-CN"/>
              </w:rPr>
              <w:t>条码扫描枪</w:t>
            </w:r>
          </w:p>
        </w:tc>
        <w:tc>
          <w:tcPr>
            <w:tcW w:w="876"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default" w:ascii="宋体" w:hAnsi="宋体" w:cs="宋体"/>
                <w:sz w:val="24"/>
                <w:lang w:val="en-US" w:eastAsia="zh-CN"/>
              </w:rPr>
            </w:pPr>
            <w:r>
              <w:rPr>
                <w:rFonts w:hint="eastAsia" w:ascii="宋体" w:hAnsi="宋体" w:cs="宋体"/>
                <w:sz w:val="24"/>
                <w:lang w:val="en-US" w:eastAsia="zh-CN"/>
              </w:rPr>
              <w:t>2</w:t>
            </w:r>
          </w:p>
        </w:tc>
        <w:tc>
          <w:tcPr>
            <w:tcW w:w="98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sz w:val="24"/>
                <w:lang w:eastAsia="zh-CN"/>
              </w:rPr>
            </w:pPr>
            <w:r>
              <w:rPr>
                <w:rFonts w:hint="eastAsia" w:ascii="宋体" w:hAnsi="宋体" w:cs="宋体"/>
                <w:sz w:val="24"/>
                <w:lang w:eastAsia="zh-CN"/>
              </w:rPr>
              <w:t>套</w:t>
            </w:r>
          </w:p>
        </w:tc>
        <w:tc>
          <w:tcPr>
            <w:tcW w:w="254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sz w:val="24"/>
                <w:lang w:val="en-US" w:eastAsia="zh-CN"/>
              </w:rPr>
            </w:pPr>
            <w:r>
              <w:rPr>
                <w:rFonts w:hint="eastAsia" w:ascii="宋体" w:hAnsi="宋体" w:cs="宋体"/>
                <w:sz w:val="24"/>
                <w:lang w:val="en-US" w:eastAsia="zh-CN"/>
              </w:rPr>
              <w:t>一年</w:t>
            </w:r>
          </w:p>
        </w:tc>
        <w:tc>
          <w:tcPr>
            <w:tcW w:w="1811"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default" w:ascii="宋体" w:hAnsi="宋体" w:cs="宋体"/>
                <w:sz w:val="24"/>
                <w:lang w:val="en-US" w:eastAsia="zh-CN"/>
              </w:rPr>
            </w:pPr>
            <w:r>
              <w:rPr>
                <w:rFonts w:hint="eastAsia" w:ascii="宋体" w:hAnsi="宋体" w:cs="宋体"/>
                <w:sz w:val="24"/>
                <w:lang w:val="en-US" w:eastAsia="zh-CN"/>
              </w:rPr>
              <w:t>3</w:t>
            </w:r>
          </w:p>
        </w:tc>
        <w:tc>
          <w:tcPr>
            <w:tcW w:w="19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sz w:val="24"/>
                <w:lang w:eastAsia="zh-Hans"/>
              </w:rPr>
            </w:pPr>
            <w:r>
              <w:rPr>
                <w:rFonts w:hint="eastAsia" w:ascii="宋体" w:hAnsi="宋体" w:eastAsia="宋体" w:cs="Times New Roman"/>
                <w:bCs/>
                <w:szCs w:val="21"/>
                <w:lang w:val="en-US" w:eastAsia="zh-CN"/>
              </w:rPr>
              <w:t>中国人类遗传资源（保藏）申报服务</w:t>
            </w:r>
          </w:p>
        </w:tc>
        <w:tc>
          <w:tcPr>
            <w:tcW w:w="1861" w:type="dxa"/>
            <w:gridSpan w:val="2"/>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eastAsia="宋体" w:cs="宋体"/>
                <w:sz w:val="24"/>
                <w:lang w:eastAsia="zh-CN"/>
              </w:rPr>
            </w:pPr>
            <w:r>
              <w:rPr>
                <w:rFonts w:hint="eastAsia" w:ascii="宋体" w:hAnsi="宋体" w:eastAsia="宋体" w:cs="宋体"/>
                <w:sz w:val="24"/>
                <w:lang w:eastAsia="zh-CN"/>
              </w:rPr>
              <w:t>提供服务</w:t>
            </w:r>
          </w:p>
        </w:tc>
        <w:tc>
          <w:tcPr>
            <w:tcW w:w="254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sz w:val="24"/>
              </w:rPr>
            </w:pPr>
            <w:r>
              <w:rPr>
                <w:rFonts w:hint="eastAsia" w:ascii="宋体" w:hAnsi="宋体" w:eastAsia="宋体" w:cs="微软雅黑"/>
                <w:color w:val="auto"/>
                <w:sz w:val="24"/>
                <w:szCs w:val="24"/>
                <w:lang w:eastAsia="zh-CN"/>
              </w:rPr>
              <w:t>辅助用户申报</w:t>
            </w:r>
            <w:r>
              <w:rPr>
                <w:rFonts w:hint="eastAsia" w:ascii="宋体" w:hAnsi="宋体" w:eastAsia="宋体" w:cs="微软雅黑"/>
                <w:color w:val="auto"/>
                <w:sz w:val="24"/>
                <w:szCs w:val="24"/>
              </w:rPr>
              <w:t>中国人类遗传资源（保藏）</w:t>
            </w:r>
            <w:r>
              <w:rPr>
                <w:rFonts w:hint="eastAsia" w:ascii="宋体" w:hAnsi="宋体" w:eastAsia="宋体" w:cs="微软雅黑"/>
                <w:color w:val="auto"/>
                <w:sz w:val="24"/>
                <w:szCs w:val="24"/>
                <w:lang w:eastAsia="zh-CN"/>
              </w:rPr>
              <w:t>资格、最终获得证书</w:t>
            </w:r>
          </w:p>
        </w:tc>
        <w:tc>
          <w:tcPr>
            <w:tcW w:w="1811"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156" w:beforeAutospacing="0" w:after="0" w:afterAutospacing="0" w:line="240" w:lineRule="auto"/>
              <w:ind w:left="0" w:right="0"/>
              <w:jc w:val="center"/>
              <w:textAlignment w:val="auto"/>
              <w:rPr>
                <w:rFonts w:hint="eastAsia" w:ascii="宋体" w:hAnsi="宋体" w:cs="宋体"/>
                <w:sz w:val="24"/>
              </w:rPr>
            </w:pPr>
          </w:p>
        </w:tc>
      </w:tr>
    </w:tbl>
    <w:p>
      <w:pPr>
        <w:pStyle w:val="2"/>
        <w:ind w:firstLine="420" w:firstLineChars="0"/>
        <w:rPr>
          <w:rFonts w:hint="eastAsia" w:ascii="宋体" w:hAnsi="宋体" w:eastAsia="宋体"/>
          <w:b/>
          <w:sz w:val="28"/>
          <w:szCs w:val="28"/>
          <w:lang w:val="en-US" w:eastAsia="zh-CN"/>
        </w:rPr>
      </w:pPr>
      <w:r>
        <w:rPr>
          <w:rFonts w:hint="eastAsia" w:ascii="宋体" w:hAnsi="宋体" w:eastAsia="宋体"/>
          <w:b/>
          <w:sz w:val="28"/>
          <w:szCs w:val="28"/>
          <w:lang w:val="en-US" w:eastAsia="zh-CN"/>
        </w:rPr>
        <w:t>4.1软件技术参数</w:t>
      </w:r>
    </w:p>
    <w:p>
      <w:pPr>
        <w:pStyle w:val="2"/>
        <w:ind w:firstLine="420" w:firstLineChars="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4.1.</w:t>
      </w:r>
      <w:r>
        <w:rPr>
          <w:rFonts w:hint="default" w:ascii="宋体" w:hAnsi="宋体" w:eastAsia="宋体" w:cs="宋体"/>
          <w:color w:val="auto"/>
          <w:kern w:val="0"/>
          <w:sz w:val="24"/>
          <w:szCs w:val="24"/>
          <w:lang w:val="en-US" w:eastAsia="zh-CN" w:bidi="ar-SA"/>
        </w:rPr>
        <w:t>1本地服务器存储数据，授权用户登录服务器操作和访问系统。</w:t>
      </w:r>
    </w:p>
    <w:p>
      <w:pPr>
        <w:pStyle w:val="2"/>
        <w:ind w:firstLine="420" w:firstLineChars="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4.1.2</w:t>
      </w:r>
      <w:r>
        <w:rPr>
          <w:rFonts w:hint="default" w:ascii="宋体" w:hAnsi="宋体" w:eastAsia="宋体" w:cs="宋体"/>
          <w:color w:val="auto"/>
          <w:kern w:val="0"/>
          <w:sz w:val="24"/>
          <w:szCs w:val="24"/>
          <w:lang w:val="en-US" w:eastAsia="zh-CN" w:bidi="ar-SA"/>
        </w:rPr>
        <w:t>系统不限制管理</w:t>
      </w:r>
      <w:r>
        <w:rPr>
          <w:rFonts w:hint="eastAsia" w:ascii="宋体" w:hAnsi="宋体" w:eastAsia="宋体" w:cs="宋体"/>
          <w:color w:val="auto"/>
          <w:kern w:val="0"/>
          <w:sz w:val="24"/>
          <w:szCs w:val="24"/>
          <w:lang w:val="en-US" w:eastAsia="zh-CN" w:bidi="ar-SA"/>
        </w:rPr>
        <w:t>和接入的</w:t>
      </w:r>
      <w:r>
        <w:rPr>
          <w:rFonts w:hint="default" w:ascii="宋体" w:hAnsi="宋体" w:eastAsia="宋体" w:cs="宋体"/>
          <w:color w:val="auto"/>
          <w:kern w:val="0"/>
          <w:sz w:val="24"/>
          <w:szCs w:val="24"/>
          <w:lang w:val="en-US" w:eastAsia="zh-CN" w:bidi="ar-SA"/>
        </w:rPr>
        <w:t>设备数量、不限制管理样本数量、不限制子账户数量和客户端访问数量。</w:t>
      </w:r>
    </w:p>
    <w:p>
      <w:pPr>
        <w:pStyle w:val="2"/>
        <w:ind w:firstLine="420" w:firstLineChars="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4.1.3</w:t>
      </w:r>
      <w:r>
        <w:rPr>
          <w:rFonts w:hint="default" w:ascii="宋体" w:hAnsi="宋体" w:eastAsia="宋体" w:cs="宋体"/>
          <w:color w:val="auto"/>
          <w:kern w:val="0"/>
          <w:sz w:val="24"/>
          <w:szCs w:val="24"/>
          <w:lang w:val="en-US" w:eastAsia="zh-CN" w:bidi="ar-SA"/>
        </w:rPr>
        <w:t>系统首页可图形化集中展示已储存样本类型、设备储存率、监控匹配率、系统公告、出入库快速审核以及样本各种状态的统计总数。</w:t>
      </w:r>
    </w:p>
    <w:p>
      <w:pPr>
        <w:pStyle w:val="2"/>
        <w:ind w:firstLine="420" w:firstLineChars="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4.1.</w:t>
      </w:r>
      <w:r>
        <w:rPr>
          <w:rFonts w:hint="default" w:ascii="宋体" w:hAnsi="宋体" w:eastAsia="宋体" w:cs="宋体"/>
          <w:color w:val="auto"/>
          <w:kern w:val="0"/>
          <w:sz w:val="24"/>
          <w:szCs w:val="24"/>
          <w:lang w:val="en-US" w:eastAsia="zh-CN" w:bidi="ar-SA"/>
        </w:rPr>
        <w:t>4设备管理支持图形卡片式展示设备信息、样本储存信息，</w:t>
      </w:r>
      <w:r>
        <w:rPr>
          <w:rFonts w:hint="eastAsia" w:ascii="宋体" w:hAnsi="宋体" w:eastAsia="宋体" w:cs="宋体"/>
          <w:color w:val="auto"/>
          <w:kern w:val="0"/>
          <w:sz w:val="24"/>
          <w:szCs w:val="24"/>
          <w:lang w:val="en-US" w:eastAsia="zh-CN" w:bidi="ar-SA"/>
        </w:rPr>
        <w:t>支持获取</w:t>
      </w:r>
      <w:r>
        <w:rPr>
          <w:rFonts w:hint="default" w:ascii="宋体" w:hAnsi="宋体" w:eastAsia="宋体" w:cs="宋体"/>
          <w:color w:val="auto"/>
          <w:kern w:val="0"/>
          <w:sz w:val="24"/>
          <w:szCs w:val="24"/>
          <w:lang w:val="en-US" w:eastAsia="zh-CN" w:bidi="ar-SA"/>
        </w:rPr>
        <w:t>温度监控设备的温度监控信息。</w:t>
      </w:r>
    </w:p>
    <w:p>
      <w:pPr>
        <w:pStyle w:val="2"/>
        <w:ind w:firstLine="420" w:firstLineChars="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4.1.</w:t>
      </w:r>
      <w:r>
        <w:rPr>
          <w:rFonts w:hint="default" w:ascii="宋体" w:hAnsi="宋体" w:eastAsia="宋体" w:cs="宋体"/>
          <w:color w:val="auto"/>
          <w:kern w:val="0"/>
          <w:sz w:val="24"/>
          <w:szCs w:val="24"/>
          <w:lang w:val="en-US" w:eastAsia="zh-CN" w:bidi="ar-SA"/>
        </w:rPr>
        <w:t>5系统支持图形化模拟各种类型存储设备的内部分区，冻存架和冻存盒的配置情况，并根据存储容量不同以不同颜色突出显示，通过颜色变化直观反馈设备内存储空间的存储情况。</w:t>
      </w:r>
    </w:p>
    <w:p>
      <w:pPr>
        <w:pStyle w:val="2"/>
        <w:ind w:firstLine="420" w:firstLineChars="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4.1.6</w:t>
      </w:r>
      <w:r>
        <w:rPr>
          <w:rFonts w:hint="default" w:ascii="宋体" w:hAnsi="宋体" w:eastAsia="宋体" w:cs="宋体"/>
          <w:color w:val="auto"/>
          <w:kern w:val="0"/>
          <w:sz w:val="24"/>
          <w:szCs w:val="24"/>
          <w:lang w:val="en-US" w:eastAsia="zh-CN" w:bidi="ar-SA"/>
        </w:rPr>
        <w:t>系统支持存储设备、冻存架、冻存盒快速操作：包括复制、移动、删除和一键整理冻存盒。</w:t>
      </w:r>
    </w:p>
    <w:p>
      <w:pPr>
        <w:pStyle w:val="2"/>
        <w:ind w:firstLine="420" w:firstLineChars="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4.1.</w:t>
      </w:r>
      <w:r>
        <w:rPr>
          <w:rFonts w:hint="default" w:ascii="宋体" w:hAnsi="宋体" w:eastAsia="宋体" w:cs="宋体"/>
          <w:color w:val="auto"/>
          <w:kern w:val="0"/>
          <w:sz w:val="24"/>
          <w:szCs w:val="24"/>
          <w:lang w:val="en-US" w:eastAsia="zh-CN" w:bidi="ar-SA"/>
        </w:rPr>
        <w:t>7系统支持设置设备图标和样本类型图标，用差异化图标图形化展示不同类型的样本。</w:t>
      </w:r>
    </w:p>
    <w:p>
      <w:pPr>
        <w:pStyle w:val="2"/>
        <w:ind w:firstLine="420" w:firstLineChars="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4.1.</w:t>
      </w:r>
      <w:r>
        <w:rPr>
          <w:rFonts w:hint="default" w:ascii="宋体" w:hAnsi="宋体" w:eastAsia="宋体" w:cs="宋体"/>
          <w:color w:val="auto"/>
          <w:kern w:val="0"/>
          <w:sz w:val="24"/>
          <w:szCs w:val="24"/>
          <w:lang w:val="en-US" w:eastAsia="zh-CN" w:bidi="ar-SA"/>
        </w:rPr>
        <w:t>8系统支持按需自定义基础信息，包括设备区域、疾病类型、分组设置、扩展分组设置、样本单位、编码规则、组织器官、取材部位、样本公共扩展、样本类型等。</w:t>
      </w:r>
    </w:p>
    <w:p>
      <w:pPr>
        <w:pStyle w:val="2"/>
        <w:ind w:firstLine="420" w:firstLineChars="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4.1.</w:t>
      </w:r>
      <w:r>
        <w:rPr>
          <w:rFonts w:hint="default" w:ascii="宋体" w:hAnsi="宋体" w:eastAsia="宋体" w:cs="宋体"/>
          <w:color w:val="auto"/>
          <w:kern w:val="0"/>
          <w:sz w:val="24"/>
          <w:szCs w:val="24"/>
          <w:lang w:val="en-US" w:eastAsia="zh-CN" w:bidi="ar-SA"/>
        </w:rPr>
        <w:t>9系统支持样本预录入、入库申请、入库审核、已储存样本的复苏、分装、编辑、销毁、出库申请、出库审核、样本还库、样本归档等主要操作，支持衍生样本来源回溯，关联初始样本及样本来源信息。</w:t>
      </w:r>
    </w:p>
    <w:p>
      <w:pPr>
        <w:pStyle w:val="2"/>
        <w:ind w:firstLine="420" w:firstLineChars="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4.1.</w:t>
      </w:r>
      <w:r>
        <w:rPr>
          <w:rFonts w:hint="default" w:ascii="宋体" w:hAnsi="宋体" w:eastAsia="宋体" w:cs="宋体"/>
          <w:color w:val="auto"/>
          <w:kern w:val="0"/>
          <w:sz w:val="24"/>
          <w:szCs w:val="24"/>
          <w:lang w:val="en-US" w:eastAsia="zh-CN" w:bidi="ar-SA"/>
        </w:rPr>
        <w:t>10系统可自定义并可视化展示多种编码规则，并实时显示剩余可用编码数量，可根据业务需求设置条码打印方案。</w:t>
      </w:r>
    </w:p>
    <w:p>
      <w:pPr>
        <w:pStyle w:val="2"/>
        <w:ind w:firstLine="420" w:firstLineChars="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4.1.</w:t>
      </w:r>
      <w:r>
        <w:rPr>
          <w:rFonts w:hint="default" w:ascii="宋体" w:hAnsi="宋体" w:eastAsia="宋体" w:cs="宋体"/>
          <w:color w:val="auto"/>
          <w:kern w:val="0"/>
          <w:sz w:val="24"/>
          <w:szCs w:val="24"/>
          <w:lang w:val="en-US" w:eastAsia="zh-CN" w:bidi="ar-SA"/>
        </w:rPr>
        <w:t>11系统支持样本类型和样本相关信息根据业务需求进行自定义设置。</w:t>
      </w:r>
    </w:p>
    <w:p>
      <w:pPr>
        <w:pStyle w:val="2"/>
        <w:ind w:firstLine="42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4.1.</w:t>
      </w:r>
      <w:r>
        <w:rPr>
          <w:rFonts w:hint="default" w:ascii="宋体" w:hAnsi="宋体" w:eastAsia="宋体" w:cs="宋体"/>
          <w:color w:val="auto"/>
          <w:kern w:val="0"/>
          <w:sz w:val="24"/>
          <w:szCs w:val="24"/>
          <w:lang w:val="en-US" w:eastAsia="zh-CN" w:bidi="ar-SA"/>
        </w:rPr>
        <w:t>12系统支持单个/批量录入样本，支持扫码预录入和扫码出库，支持样本信息批量导入/导出</w:t>
      </w:r>
      <w:r>
        <w:rPr>
          <w:rFonts w:hint="eastAsia" w:ascii="宋体" w:hAnsi="宋体" w:eastAsia="宋体" w:cs="宋体"/>
          <w:color w:val="auto"/>
          <w:kern w:val="0"/>
          <w:sz w:val="24"/>
          <w:szCs w:val="24"/>
          <w:lang w:val="en-US" w:eastAsia="zh-CN" w:bidi="ar-SA"/>
        </w:rPr>
        <w:t>。</w:t>
      </w:r>
    </w:p>
    <w:p>
      <w:pPr>
        <w:pStyle w:val="2"/>
        <w:ind w:firstLine="42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4.1.13</w:t>
      </w:r>
      <w:r>
        <w:rPr>
          <w:rFonts w:hint="default" w:ascii="宋体" w:hAnsi="宋体" w:eastAsia="宋体" w:cs="宋体"/>
          <w:color w:val="auto"/>
          <w:kern w:val="0"/>
          <w:sz w:val="24"/>
          <w:szCs w:val="24"/>
          <w:lang w:val="en-US" w:eastAsia="zh-CN" w:bidi="ar-SA"/>
        </w:rPr>
        <w:t>系统支持自定义报表设计，可通过字段拖拽形式设计报表，所见及所得；系统能够按照样本类型、所属项目、疾病种类、所属课题、来源科室等分类统计样本数量。</w:t>
      </w:r>
      <w:r>
        <w:rPr>
          <w:rFonts w:hint="eastAsia" w:ascii="宋体" w:hAnsi="宋体" w:eastAsia="宋体" w:cs="宋体"/>
          <w:color w:val="auto"/>
          <w:kern w:val="0"/>
          <w:sz w:val="24"/>
          <w:szCs w:val="24"/>
          <w:lang w:val="en-US" w:eastAsia="zh-CN" w:bidi="ar-SA"/>
        </w:rPr>
        <w:t>支持统计结果导出。</w:t>
      </w:r>
    </w:p>
    <w:p>
      <w:pPr>
        <w:pStyle w:val="2"/>
        <w:ind w:firstLine="420" w:firstLineChars="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4.1.14</w:t>
      </w:r>
      <w:r>
        <w:rPr>
          <w:rFonts w:hint="default" w:ascii="宋体" w:hAnsi="宋体" w:eastAsia="宋体" w:cs="宋体"/>
          <w:color w:val="auto"/>
          <w:kern w:val="0"/>
          <w:sz w:val="24"/>
          <w:szCs w:val="24"/>
          <w:lang w:val="en-US" w:eastAsia="zh-CN" w:bidi="ar-SA"/>
        </w:rPr>
        <w:t>系统支持按用户、角色等设置菜单查看、数据查看、功能操作权限；系统支持按角色、用户、部门等不同的维度设置系统权限；</w:t>
      </w:r>
    </w:p>
    <w:p>
      <w:pPr>
        <w:pStyle w:val="9"/>
        <w:numPr>
          <w:ilvl w:val="0"/>
          <w:numId w:val="0"/>
        </w:numPr>
        <w:spacing w:line="360" w:lineRule="auto"/>
        <w:ind w:leftChars="0" w:firstLine="420" w:firstLineChars="0"/>
        <w:contextualSpacing/>
        <w:jc w:val="left"/>
        <w:outlineLvl w:val="4"/>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4.1.15</w:t>
      </w:r>
      <w:r>
        <w:rPr>
          <w:rFonts w:hint="default" w:ascii="宋体" w:hAnsi="宋体" w:eastAsia="宋体" w:cs="宋体"/>
          <w:color w:val="auto"/>
          <w:kern w:val="0"/>
          <w:sz w:val="24"/>
          <w:szCs w:val="24"/>
          <w:lang w:val="en-US" w:eastAsia="zh-CN" w:bidi="ar-SA"/>
        </w:rPr>
        <w:t>系统支持使用样本库系统中的多种条件任意组合来进行样本的筛选；</w:t>
      </w:r>
    </w:p>
    <w:p>
      <w:pPr>
        <w:pStyle w:val="2"/>
        <w:ind w:firstLine="420" w:firstLineChars="0"/>
        <w:rPr>
          <w:rFonts w:hint="eastAsia" w:ascii="宋体" w:hAnsi="宋体" w:eastAsia="宋体"/>
          <w:b/>
          <w:sz w:val="28"/>
          <w:szCs w:val="28"/>
          <w:lang w:val="en-US" w:eastAsia="zh-CN"/>
        </w:rPr>
      </w:pPr>
      <w:r>
        <w:rPr>
          <w:rFonts w:hint="eastAsia" w:ascii="宋体" w:hAnsi="宋体" w:eastAsia="宋体"/>
          <w:b/>
          <w:sz w:val="28"/>
          <w:szCs w:val="28"/>
          <w:lang w:val="en-US" w:eastAsia="zh-CN"/>
        </w:rPr>
        <w:t>4.2 硬件参数</w:t>
      </w:r>
    </w:p>
    <w:tbl>
      <w:tblPr>
        <w:tblStyle w:val="7"/>
        <w:tblW w:w="9121" w:type="dxa"/>
        <w:jc w:val="center"/>
        <w:tblInd w:w="-1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737"/>
        <w:gridCol w:w="7166"/>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eastAsia="zh-CN"/>
              </w:rPr>
            </w:pPr>
            <w:r>
              <w:rPr>
                <w:rFonts w:hint="eastAsia" w:ascii="宋体" w:hAnsi="宋体" w:eastAsia="宋体"/>
                <w:lang w:eastAsia="zh-CN"/>
              </w:rPr>
              <w:t>配套硬件</w:t>
            </w:r>
          </w:p>
        </w:tc>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eastAsia="zh-CN"/>
              </w:rPr>
            </w:pPr>
            <w:r>
              <w:rPr>
                <w:rFonts w:hint="eastAsia" w:ascii="宋体" w:hAnsi="宋体" w:eastAsia="宋体"/>
                <w:lang w:eastAsia="zh-CN"/>
              </w:rPr>
              <w:t>类型</w:t>
            </w:r>
          </w:p>
        </w:tc>
        <w:tc>
          <w:tcPr>
            <w:tcW w:w="71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lang w:eastAsia="zh-CN"/>
              </w:rPr>
            </w:pPr>
            <w:r>
              <w:rPr>
                <w:rFonts w:hint="eastAsia" w:ascii="宋体" w:hAnsi="宋体" w:eastAsia="宋体"/>
                <w:lang w:eastAsia="zh-CN"/>
              </w:rPr>
              <w:t>参数</w:t>
            </w:r>
          </w:p>
        </w:tc>
        <w:tc>
          <w:tcPr>
            <w:tcW w:w="7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lang w:eastAsia="zh-CN"/>
              </w:rPr>
            </w:pPr>
            <w:r>
              <w:rPr>
                <w:rFonts w:hint="eastAsia" w:ascii="宋体" w:hAnsi="宋体" w:eastAsia="宋体"/>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eastAsia="zh-CN"/>
              </w:rPr>
            </w:pPr>
          </w:p>
        </w:tc>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center"/>
              <w:textAlignment w:val="auto"/>
              <w:rPr>
                <w:rFonts w:hint="eastAsia" w:ascii="宋体" w:hAnsi="宋体" w:eastAsia="宋体"/>
                <w:lang w:eastAsia="zh-CN"/>
              </w:rPr>
            </w:pPr>
            <w:r>
              <w:rPr>
                <w:rFonts w:hint="eastAsia" w:ascii="宋体" w:hAnsi="宋体" w:eastAsia="宋体"/>
                <w:lang w:eastAsia="zh-CN"/>
              </w:rPr>
              <w:t>条码打印机</w:t>
            </w:r>
          </w:p>
        </w:tc>
        <w:tc>
          <w:tcPr>
            <w:tcW w:w="7166" w:type="dxa"/>
            <w:vAlign w:val="center"/>
          </w:tcPr>
          <w:p>
            <w:pPr>
              <w:pStyle w:val="9"/>
              <w:keepNext w:val="0"/>
              <w:keepLines w:val="0"/>
              <w:numPr>
                <w:ilvl w:val="0"/>
                <w:numId w:val="0"/>
              </w:numPr>
              <w:suppressLineNumbers w:val="0"/>
              <w:spacing w:before="0" w:beforeAutospacing="0" w:after="0" w:afterAutospacing="0" w:line="360" w:lineRule="auto"/>
              <w:ind w:left="0" w:leftChars="0" w:right="0"/>
              <w:contextualSpacing/>
              <w:jc w:val="left"/>
              <w:rPr>
                <w:rFonts w:hint="eastAsia" w:hAnsi="宋体" w:eastAsia="宋体" w:cs="Times New Roman"/>
                <w:color w:val="000000"/>
                <w:sz w:val="24"/>
              </w:rPr>
            </w:pPr>
            <w:r>
              <w:rPr>
                <w:rFonts w:hint="default" w:ascii="宋体" w:hAnsi="宋体" w:eastAsia="宋体" w:cs="Times New Roman"/>
                <w:bCs/>
                <w:szCs w:val="21"/>
              </w:rPr>
              <w:t>打印分辨率：≥300dpi</w:t>
            </w:r>
            <w:r>
              <w:rPr>
                <w:rFonts w:hint="eastAsia" w:hAnsi="宋体" w:eastAsia="宋体" w:cs="Times New Roman"/>
                <w:color w:val="000000"/>
                <w:sz w:val="24"/>
              </w:rPr>
              <w:t>；打印方式：热敏或热转印；</w:t>
            </w:r>
            <w:r>
              <w:rPr>
                <w:rFonts w:hint="default" w:ascii="宋体" w:hAnsi="宋体" w:eastAsia="宋体" w:cs="Times New Roman"/>
                <w:bCs/>
                <w:szCs w:val="21"/>
              </w:rPr>
              <w:t>打印速度：≤11.8英寸（300mm）/秒</w:t>
            </w:r>
            <w:r>
              <w:rPr>
                <w:rFonts w:hint="eastAsia" w:hAnsi="宋体" w:eastAsia="宋体" w:cs="Times New Roman"/>
                <w:color w:val="000000"/>
                <w:sz w:val="24"/>
              </w:rPr>
              <w:t>；</w:t>
            </w:r>
          </w:p>
          <w:p>
            <w:pPr>
              <w:pStyle w:val="9"/>
              <w:keepNext w:val="0"/>
              <w:keepLines w:val="0"/>
              <w:numPr>
                <w:ilvl w:val="0"/>
                <w:numId w:val="0"/>
              </w:numPr>
              <w:suppressLineNumbers w:val="0"/>
              <w:spacing w:before="0" w:beforeAutospacing="0" w:after="0" w:afterAutospacing="0" w:line="360" w:lineRule="auto"/>
              <w:ind w:left="0" w:leftChars="0" w:right="0"/>
              <w:contextualSpacing/>
              <w:jc w:val="left"/>
              <w:rPr>
                <w:rFonts w:hint="default" w:ascii="宋体" w:hAnsi="宋体" w:eastAsia="宋体" w:cs="Times New Roman"/>
                <w:bCs/>
                <w:szCs w:val="21"/>
              </w:rPr>
            </w:pPr>
            <w:r>
              <w:rPr>
                <w:rFonts w:hint="default" w:ascii="宋体" w:hAnsi="宋体" w:eastAsia="宋体" w:cs="Times New Roman"/>
                <w:bCs/>
                <w:szCs w:val="21"/>
              </w:rPr>
              <w:t>标签</w:t>
            </w:r>
            <w:r>
              <w:rPr>
                <w:rFonts w:hint="eastAsia" w:ascii="宋体" w:hAnsi="宋体" w:eastAsia="宋体" w:cs="Times New Roman"/>
                <w:bCs/>
                <w:szCs w:val="21"/>
                <w:lang w:eastAsia="zh-CN"/>
              </w:rPr>
              <w:t>：</w:t>
            </w:r>
            <w:r>
              <w:rPr>
                <w:rFonts w:hint="default" w:ascii="宋体" w:hAnsi="宋体" w:eastAsia="宋体" w:cs="Times New Roman"/>
                <w:bCs/>
                <w:szCs w:val="21"/>
              </w:rPr>
              <w:t>3000片/卷，材质：白色聚酯PET，粘胶：永久性丙烯酸，可用于最低-196度液氮环境，防水，耐酒精擦拭，耐化学试剂</w:t>
            </w:r>
          </w:p>
          <w:p>
            <w:pPr>
              <w:pStyle w:val="9"/>
              <w:keepNext w:val="0"/>
              <w:keepLines w:val="0"/>
              <w:numPr>
                <w:ilvl w:val="0"/>
                <w:numId w:val="0"/>
              </w:numPr>
              <w:suppressLineNumbers w:val="0"/>
              <w:spacing w:before="0" w:beforeAutospacing="0" w:after="0" w:afterAutospacing="0" w:line="360" w:lineRule="auto"/>
              <w:ind w:left="0" w:leftChars="0" w:right="0"/>
              <w:contextualSpacing/>
              <w:jc w:val="left"/>
              <w:rPr>
                <w:rFonts w:hint="default" w:ascii="宋体" w:hAnsi="宋体" w:eastAsia="宋体"/>
              </w:rPr>
            </w:pPr>
            <w:r>
              <w:rPr>
                <w:rFonts w:hint="eastAsia" w:ascii="宋体" w:hAnsi="宋体" w:eastAsia="宋体" w:cs="Times New Roman"/>
                <w:bCs/>
                <w:szCs w:val="21"/>
                <w:lang w:eastAsia="zh-CN"/>
              </w:rPr>
              <w:t>接口：</w:t>
            </w:r>
            <w:r>
              <w:rPr>
                <w:rFonts w:hint="default" w:ascii="宋体" w:hAnsi="宋体" w:eastAsia="宋体" w:cs="Times New Roman"/>
                <w:bCs/>
                <w:szCs w:val="21"/>
              </w:rPr>
              <w:t>USB接口、RS232-C、以太网接口、SD 卡接</w:t>
            </w:r>
            <w:r>
              <w:rPr>
                <w:rFonts w:hint="eastAsia" w:ascii="宋体" w:hAnsi="宋体" w:eastAsia="宋体" w:cs="Times New Roman"/>
                <w:bCs/>
                <w:szCs w:val="21"/>
                <w:lang w:eastAsia="zh-CN"/>
              </w:rPr>
              <w:t>口</w:t>
            </w:r>
          </w:p>
        </w:tc>
        <w:tc>
          <w:tcPr>
            <w:tcW w:w="7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left"/>
              <w:textAlignment w:val="auto"/>
              <w:rPr>
                <w:rFonts w:hint="eastAsia" w:ascii="宋体" w:hAnsi="宋体" w:eastAsia="宋体"/>
                <w:lang w:val="en-US" w:eastAsia="zh-CN"/>
              </w:rPr>
            </w:pPr>
            <w:r>
              <w:rPr>
                <w:rFonts w:hint="eastAsia" w:ascii="宋体" w:hAnsi="宋体" w:eastAsia="宋体"/>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rPr>
            </w:pPr>
          </w:p>
        </w:tc>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eastAsia="zh-CN"/>
              </w:rPr>
            </w:pPr>
            <w:r>
              <w:rPr>
                <w:rFonts w:hint="eastAsia" w:ascii="宋体" w:hAnsi="宋体" w:eastAsia="宋体"/>
                <w:lang w:eastAsia="zh-CN"/>
              </w:rPr>
              <w:t>条码扫描枪</w:t>
            </w:r>
          </w:p>
        </w:tc>
        <w:tc>
          <w:tcPr>
            <w:tcW w:w="7166"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rPr>
            </w:pPr>
            <w:r>
              <w:rPr>
                <w:rFonts w:hint="eastAsia" w:hAnsi="宋体" w:eastAsia="宋体" w:cs="Times New Roman"/>
                <w:color w:val="000000"/>
                <w:sz w:val="24"/>
              </w:rPr>
              <w:t>扫描模式：二维影像（</w:t>
            </w:r>
            <w:r>
              <w:rPr>
                <w:rFonts w:hint="default" w:hAnsi="宋体" w:eastAsia="宋体" w:cs="Times New Roman"/>
                <w:color w:val="000000"/>
                <w:sz w:val="24"/>
              </w:rPr>
              <w:t>838 X 640</w:t>
            </w:r>
            <w:r>
              <w:rPr>
                <w:rFonts w:hint="eastAsia" w:hAnsi="宋体" w:eastAsia="宋体" w:cs="Times New Roman"/>
                <w:color w:val="000000"/>
                <w:sz w:val="24"/>
              </w:rPr>
              <w:t>像素排列）；分辨率</w:t>
            </w:r>
            <w:r>
              <w:rPr>
                <w:rFonts w:hint="default" w:ascii="宋体" w:hAnsi="宋体" w:eastAsia="宋体" w:cs="Times New Roman"/>
                <w:bCs/>
                <w:szCs w:val="21"/>
              </w:rPr>
              <w:t>≥</w:t>
            </w:r>
            <w:r>
              <w:rPr>
                <w:rFonts w:hint="default" w:hAnsi="宋体" w:eastAsia="宋体" w:cs="Times New Roman"/>
                <w:color w:val="000000"/>
                <w:sz w:val="24"/>
              </w:rPr>
              <w:t>6.7mil</w:t>
            </w:r>
            <w:r>
              <w:rPr>
                <w:rFonts w:hint="eastAsia" w:hAnsi="宋体" w:eastAsia="宋体" w:cs="Times New Roman"/>
                <w:color w:val="000000"/>
                <w:sz w:val="24"/>
              </w:rPr>
              <w:t>；阅读景深：</w:t>
            </w:r>
            <w:r>
              <w:rPr>
                <w:rFonts w:hint="default" w:hAnsi="宋体" w:eastAsia="宋体" w:cs="Times New Roman"/>
                <w:color w:val="000000"/>
                <w:sz w:val="24"/>
              </w:rPr>
              <w:t>1.8-14cm</w:t>
            </w:r>
            <w:r>
              <w:rPr>
                <w:rFonts w:hint="eastAsia" w:hAnsi="宋体" w:eastAsia="宋体" w:cs="Times New Roman"/>
                <w:color w:val="000000"/>
                <w:sz w:val="24"/>
              </w:rPr>
              <w:t>；工业等级：</w:t>
            </w:r>
            <w:r>
              <w:rPr>
                <w:rFonts w:hint="default" w:hAnsi="宋体" w:eastAsia="宋体" w:cs="Times New Roman"/>
                <w:color w:val="000000"/>
                <w:sz w:val="24"/>
              </w:rPr>
              <w:t>IP41</w:t>
            </w:r>
            <w:r>
              <w:rPr>
                <w:rFonts w:hint="eastAsia" w:hAnsi="宋体" w:eastAsia="宋体" w:cs="Times New Roman"/>
                <w:color w:val="000000"/>
                <w:sz w:val="24"/>
              </w:rPr>
              <w:t>；扫描码制：一维码、二维码、邮政码、带标准支架。</w:t>
            </w:r>
          </w:p>
        </w:tc>
        <w:tc>
          <w:tcPr>
            <w:tcW w:w="7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lang w:val="en-US" w:eastAsia="zh-CN"/>
              </w:rPr>
            </w:pPr>
            <w:r>
              <w:rPr>
                <w:rFonts w:hint="eastAsia" w:ascii="宋体" w:hAnsi="宋体" w:eastAsia="宋体"/>
                <w:lang w:val="en-US" w:eastAsia="zh-CN"/>
              </w:rPr>
              <w:t>2套</w:t>
            </w:r>
          </w:p>
        </w:tc>
      </w:tr>
    </w:tbl>
    <w:p>
      <w:pPr>
        <w:pStyle w:val="2"/>
        <w:ind w:firstLine="420" w:firstLineChars="0"/>
        <w:rPr>
          <w:rFonts w:hint="eastAsia" w:ascii="宋体" w:hAnsi="宋体" w:eastAsia="宋体"/>
          <w:b/>
          <w:sz w:val="28"/>
          <w:szCs w:val="28"/>
          <w:lang w:val="en-US" w:eastAsia="zh-CN"/>
        </w:rPr>
      </w:pPr>
      <w:r>
        <w:rPr>
          <w:rFonts w:hint="eastAsia" w:ascii="宋体" w:hAnsi="宋体" w:eastAsia="宋体"/>
          <w:b/>
          <w:sz w:val="28"/>
          <w:szCs w:val="28"/>
          <w:lang w:val="en-US" w:eastAsia="zh-CN"/>
        </w:rPr>
        <w:t>4.3 中国人类遗传资源（保藏）申报服务</w:t>
      </w:r>
    </w:p>
    <w:p>
      <w:pPr>
        <w:pStyle w:val="9"/>
        <w:numPr>
          <w:ilvl w:val="0"/>
          <w:numId w:val="0"/>
        </w:numPr>
        <w:spacing w:line="360" w:lineRule="auto"/>
        <w:ind w:leftChars="0" w:firstLine="420" w:firstLineChars="0"/>
        <w:contextualSpacing/>
        <w:jc w:val="left"/>
        <w:rPr>
          <w:rFonts w:ascii="宋体" w:hAnsi="宋体" w:eastAsia="宋体" w:cs="Times New Roman"/>
          <w:bCs/>
          <w:szCs w:val="21"/>
        </w:rPr>
      </w:pPr>
      <w:r>
        <w:rPr>
          <w:rFonts w:hint="eastAsia" w:eastAsia="宋体" w:cs="Times New Roman"/>
          <w:color w:val="000000"/>
          <w:sz w:val="24"/>
          <w:lang w:val="en-US" w:eastAsia="zh-CN"/>
        </w:rPr>
        <w:t>4.3.1</w:t>
      </w:r>
      <w:r>
        <w:rPr>
          <w:rFonts w:ascii="宋体" w:hAnsi="宋体" w:eastAsia="宋体" w:cs="Times New Roman"/>
          <w:bCs/>
          <w:szCs w:val="21"/>
        </w:rPr>
        <w:t>通过现场辅导、线上会议等方式，负责辅导、协助用户申报中国人类遗传资源保藏申报服务，指导及协助医院建立、补充、修订必要的管理制度、技术文件、规范流程等，提升生物样本库的整体规范运营能力与水平。</w:t>
      </w:r>
    </w:p>
    <w:p>
      <w:pPr>
        <w:pStyle w:val="9"/>
        <w:numPr>
          <w:ilvl w:val="0"/>
          <w:numId w:val="0"/>
        </w:numPr>
        <w:spacing w:line="360" w:lineRule="auto"/>
        <w:ind w:leftChars="0" w:firstLine="420" w:firstLineChars="0"/>
        <w:contextualSpacing/>
        <w:jc w:val="left"/>
        <w:rPr>
          <w:rFonts w:ascii="宋体" w:hAnsi="宋体" w:eastAsia="宋体" w:cs="Times New Roman"/>
          <w:bCs/>
          <w:szCs w:val="21"/>
        </w:rPr>
      </w:pPr>
      <w:r>
        <w:rPr>
          <w:rFonts w:hint="eastAsia" w:ascii="宋体" w:hAnsi="宋体" w:eastAsia="宋体" w:cs="Times New Roman"/>
          <w:bCs/>
          <w:szCs w:val="21"/>
          <w:lang w:val="en-US" w:eastAsia="zh-CN"/>
        </w:rPr>
        <w:t>4.3.2</w:t>
      </w:r>
      <w:r>
        <w:rPr>
          <w:rFonts w:ascii="宋体" w:hAnsi="宋体" w:eastAsia="宋体" w:cs="Times New Roman"/>
          <w:bCs/>
          <w:szCs w:val="21"/>
        </w:rPr>
        <w:t>对用户现状进行</w:t>
      </w:r>
      <w:r>
        <w:rPr>
          <w:rFonts w:hint="eastAsia" w:ascii="宋体" w:hAnsi="宋体" w:eastAsia="宋体" w:cs="Times New Roman"/>
          <w:bCs/>
          <w:szCs w:val="21"/>
          <w:lang w:eastAsia="zh-CN"/>
        </w:rPr>
        <w:t>需求调查、</w:t>
      </w:r>
      <w:r>
        <w:rPr>
          <w:rFonts w:ascii="宋体" w:hAnsi="宋体" w:eastAsia="宋体" w:cs="Times New Roman"/>
          <w:bCs/>
          <w:szCs w:val="21"/>
        </w:rPr>
        <w:t>调研及诊断，评估</w:t>
      </w:r>
      <w:r>
        <w:rPr>
          <w:rFonts w:hint="eastAsia" w:ascii="宋体" w:hAnsi="宋体" w:eastAsia="宋体" w:cs="Times New Roman"/>
          <w:bCs/>
          <w:szCs w:val="21"/>
          <w:lang w:eastAsia="zh-CN"/>
        </w:rPr>
        <w:t>用户</w:t>
      </w:r>
      <w:r>
        <w:rPr>
          <w:rFonts w:ascii="宋体" w:hAnsi="宋体" w:eastAsia="宋体" w:cs="Times New Roman"/>
          <w:bCs/>
          <w:szCs w:val="21"/>
        </w:rPr>
        <w:t xml:space="preserve">是否具备相应的申报条件，分析生物样本库建设中存在问题，并协助用户修正相关问题；为客户提供申报推行计划，制定项目申报周期计划及梳理中国人类遗传资源保藏行政许可申报流程。 </w:t>
      </w:r>
    </w:p>
    <w:p>
      <w:pPr>
        <w:pStyle w:val="9"/>
        <w:numPr>
          <w:ilvl w:val="0"/>
          <w:numId w:val="0"/>
        </w:numPr>
        <w:spacing w:line="360" w:lineRule="auto"/>
        <w:ind w:leftChars="0" w:firstLine="420" w:firstLineChars="0"/>
        <w:contextualSpacing/>
        <w:jc w:val="left"/>
        <w:rPr>
          <w:rFonts w:ascii="宋体" w:hAnsi="宋体" w:eastAsia="宋体" w:cs="Times New Roman"/>
          <w:bCs/>
          <w:szCs w:val="21"/>
        </w:rPr>
      </w:pPr>
      <w:r>
        <w:rPr>
          <w:rFonts w:hint="eastAsia" w:ascii="宋体" w:hAnsi="宋体" w:eastAsia="宋体" w:cs="Times New Roman"/>
          <w:bCs/>
          <w:szCs w:val="21"/>
          <w:lang w:val="en-US" w:eastAsia="zh-CN"/>
        </w:rPr>
        <w:t>4.3.3</w:t>
      </w:r>
      <w:r>
        <w:rPr>
          <w:rFonts w:ascii="宋体" w:hAnsi="宋体" w:eastAsia="宋体" w:cs="Times New Roman"/>
          <w:bCs/>
          <w:szCs w:val="21"/>
        </w:rPr>
        <w:t>辅导团队应具备专门从事人类遗传资源管理项目和项目申请的丰富经验；具备对生物样本库运行、管理的丰富经验</w:t>
      </w:r>
      <w:r>
        <w:rPr>
          <w:rFonts w:hint="eastAsia" w:ascii="宋体" w:hAnsi="宋体" w:eastAsia="宋体" w:cs="Times New Roman"/>
          <w:bCs/>
          <w:szCs w:val="21"/>
          <w:lang w:eastAsia="zh-CN"/>
        </w:rPr>
        <w:t>。需</w:t>
      </w:r>
      <w:r>
        <w:rPr>
          <w:rFonts w:hint="eastAsia" w:ascii="宋体" w:hAnsi="宋体" w:eastAsia="宋体" w:cs="Times New Roman"/>
          <w:bCs/>
          <w:szCs w:val="21"/>
          <w:lang w:val="en-US" w:eastAsia="zh-CN"/>
        </w:rPr>
        <w:t>安排团队</w:t>
      </w:r>
      <w:r>
        <w:rPr>
          <w:rFonts w:ascii="宋体" w:hAnsi="宋体" w:eastAsia="宋体" w:cs="Times New Roman"/>
          <w:bCs/>
          <w:szCs w:val="21"/>
        </w:rPr>
        <w:t>专人对医院申报中国人类遗传资源保藏行政许可进行相关辅导，包含但不限于：结合项目现状，政策背景，针对性地开展客户辅导；将相关专家的经验、知识、资源分享给用户；辅导并协助用户建立、补充、修订必要的管理制度、流程及体系文件；辅导并协助用户进行相关申报资料的填写及相关文件模版的制作和撰写。</w:t>
      </w:r>
    </w:p>
    <w:p>
      <w:pPr>
        <w:pStyle w:val="9"/>
        <w:numPr>
          <w:ilvl w:val="0"/>
          <w:numId w:val="0"/>
        </w:numPr>
        <w:spacing w:line="360" w:lineRule="auto"/>
        <w:ind w:leftChars="0" w:firstLine="420" w:firstLineChars="0"/>
        <w:contextualSpacing/>
        <w:jc w:val="left"/>
        <w:rPr>
          <w:rFonts w:hint="eastAsia" w:ascii="宋体" w:hAnsi="宋体" w:eastAsia="宋体" w:cs="Times New Roman"/>
          <w:bCs/>
          <w:szCs w:val="21"/>
        </w:rPr>
      </w:pPr>
      <w:r>
        <w:rPr>
          <w:rFonts w:hint="eastAsia" w:ascii="宋体" w:hAnsi="宋体" w:eastAsia="宋体" w:cs="Times New Roman"/>
          <w:bCs/>
          <w:szCs w:val="21"/>
          <w:lang w:val="en-US" w:eastAsia="zh-CN"/>
        </w:rPr>
        <w:t>4.3.4</w:t>
      </w:r>
      <w:r>
        <w:rPr>
          <w:rFonts w:ascii="宋体" w:hAnsi="宋体" w:eastAsia="宋体" w:cs="Times New Roman"/>
          <w:bCs/>
          <w:szCs w:val="21"/>
        </w:rPr>
        <w:t>辅导方式包含通过现场辅导、视频会议、邮件、电话、微信等</w:t>
      </w:r>
      <w:r>
        <w:rPr>
          <w:rFonts w:hint="eastAsia" w:ascii="宋体" w:hAnsi="宋体" w:eastAsia="宋体" w:cs="Times New Roman"/>
          <w:bCs/>
          <w:szCs w:val="21"/>
          <w:lang w:eastAsia="zh-CN"/>
        </w:rPr>
        <w:t>多种线上线下</w:t>
      </w:r>
      <w:r>
        <w:rPr>
          <w:rFonts w:ascii="宋体" w:hAnsi="宋体" w:eastAsia="宋体" w:cs="Times New Roman"/>
          <w:bCs/>
          <w:szCs w:val="21"/>
        </w:rPr>
        <w:t>方式进行沟通，</w:t>
      </w:r>
      <w:r>
        <w:rPr>
          <w:rFonts w:hint="eastAsia" w:ascii="宋体" w:hAnsi="宋体" w:eastAsia="宋体" w:cs="Times New Roman"/>
          <w:bCs/>
          <w:szCs w:val="21"/>
          <w:lang w:eastAsia="zh-CN"/>
        </w:rPr>
        <w:t>及时回应及完成对用户的指导、答疑</w:t>
      </w:r>
      <w:r>
        <w:rPr>
          <w:rFonts w:ascii="宋体" w:hAnsi="宋体" w:eastAsia="宋体" w:cs="Times New Roman"/>
          <w:bCs/>
          <w:szCs w:val="21"/>
        </w:rPr>
        <w:t>。对于用户在申报过程中遇到的疑问或问题能及时解答并给出相应的解决方案</w:t>
      </w:r>
      <w:r>
        <w:rPr>
          <w:rFonts w:hint="eastAsia" w:ascii="宋体" w:hAnsi="宋体" w:eastAsia="宋体" w:cs="Times New Roman"/>
          <w:bCs/>
          <w:szCs w:val="21"/>
        </w:rPr>
        <w:t>。</w:t>
      </w:r>
    </w:p>
    <w:p>
      <w:pPr>
        <w:pStyle w:val="9"/>
        <w:numPr>
          <w:ilvl w:val="0"/>
          <w:numId w:val="0"/>
        </w:numPr>
        <w:spacing w:line="360" w:lineRule="auto"/>
        <w:ind w:leftChars="0" w:firstLine="420" w:firstLineChars="0"/>
        <w:contextualSpacing/>
        <w:jc w:val="left"/>
        <w:rPr>
          <w:rFonts w:hint="default" w:ascii="宋体" w:hAnsi="宋体" w:eastAsia="宋体" w:cs="Times New Roman"/>
          <w:bCs/>
          <w:szCs w:val="21"/>
          <w:lang w:val="en-US" w:eastAsia="zh-CN"/>
        </w:rPr>
      </w:pPr>
    </w:p>
    <w:p>
      <w:pPr>
        <w:pStyle w:val="2"/>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eastAsia="zh-CN"/>
        </w:rPr>
        <w:t>五</w:t>
      </w:r>
      <w:r>
        <w:rPr>
          <w:rFonts w:hint="eastAsia" w:ascii="宋体" w:hAnsi="宋体" w:eastAsia="宋体" w:cs="宋体"/>
          <w:b/>
          <w:bCs/>
          <w:color w:val="auto"/>
          <w:sz w:val="28"/>
          <w:lang w:val="en-US"/>
        </w:rPr>
        <w:t>、对接口及系统改造的要求</w:t>
      </w:r>
    </w:p>
    <w:p>
      <w:pPr>
        <w:pageBreakBefore w:val="0"/>
        <w:widowControl w:val="0"/>
        <w:kinsoku/>
        <w:wordWrap/>
        <w:overflowPunct/>
        <w:topLinePunct w:val="0"/>
        <w:autoSpaceDE/>
        <w:autoSpaceDN/>
        <w:bidi w:val="0"/>
        <w:adjustRightInd/>
        <w:snapToGrid/>
        <w:spacing w:line="312" w:lineRule="auto"/>
        <w:ind w:firstLine="420" w:firstLineChars="0"/>
        <w:textAlignment w:val="auto"/>
        <w:rPr>
          <w:rFonts w:ascii="宋体" w:hAnsi="宋体" w:eastAsia="宋体" w:cs="宋体"/>
          <w:b/>
          <w:bCs/>
          <w:color w:val="auto"/>
          <w:sz w:val="24"/>
          <w:szCs w:val="24"/>
        </w:rPr>
      </w:pPr>
      <w:r>
        <w:rPr>
          <w:rFonts w:hint="eastAsia" w:ascii="宋体" w:hAnsi="宋体" w:eastAsia="宋体" w:cs="宋体"/>
          <w:b/>
          <w:bCs/>
          <w:color w:val="auto"/>
          <w:sz w:val="24"/>
          <w:szCs w:val="24"/>
          <w:lang w:eastAsia="zh-CN"/>
        </w:rPr>
        <w:t>质</w:t>
      </w:r>
      <w:r>
        <w:rPr>
          <w:rFonts w:hint="eastAsia" w:ascii="宋体" w:hAnsi="宋体" w:eastAsia="宋体" w:cs="宋体"/>
          <w:b/>
          <w:bCs/>
          <w:color w:val="auto"/>
          <w:sz w:val="24"/>
          <w:szCs w:val="24"/>
        </w:rPr>
        <w:t>保期和</w:t>
      </w:r>
      <w:r>
        <w:rPr>
          <w:rFonts w:hint="eastAsia" w:ascii="宋体" w:hAnsi="宋体" w:eastAsia="宋体" w:cs="宋体"/>
          <w:b/>
          <w:bCs/>
          <w:color w:val="auto"/>
          <w:sz w:val="24"/>
          <w:szCs w:val="24"/>
          <w:lang w:eastAsia="zh-CN"/>
        </w:rPr>
        <w:t>维</w:t>
      </w:r>
      <w:r>
        <w:rPr>
          <w:rFonts w:hint="eastAsia" w:ascii="宋体" w:hAnsi="宋体" w:eastAsia="宋体" w:cs="宋体"/>
          <w:b/>
          <w:bCs/>
          <w:color w:val="auto"/>
          <w:sz w:val="24"/>
          <w:szCs w:val="24"/>
        </w:rPr>
        <w:t>保期内免费实现以下要求：</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eastAsia="zh-CN"/>
        </w:rPr>
        <w:t>5</w:t>
      </w:r>
      <w:r>
        <w:rPr>
          <w:rFonts w:hint="eastAsia" w:ascii="宋体" w:hAnsi="宋体" w:eastAsia="宋体" w:cs="宋体"/>
          <w:color w:val="auto"/>
          <w:sz w:val="24"/>
          <w:lang w:val="en-US"/>
        </w:rPr>
        <w:t>.1提供全面的接口技术，与第三方系统共享数据和功能，这些接口技术包括中间件技术接口、WEBSEVICE通用接口、数据库级接口、文件文本接口等。</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eastAsia="zh-CN"/>
        </w:rPr>
        <w:t>5</w:t>
      </w:r>
      <w:r>
        <w:rPr>
          <w:rFonts w:hint="eastAsia" w:ascii="宋体" w:hAnsi="宋体" w:eastAsia="宋体" w:cs="宋体"/>
          <w:color w:val="auto"/>
          <w:sz w:val="24"/>
          <w:lang w:val="en-US"/>
        </w:rPr>
        <w:t>.2提供与医院第三方系统统一接口的维护与管理，与HIS、电子病历、LIS、PACS、心电系统、体检系统、集成平台、</w:t>
      </w:r>
      <w:r>
        <w:rPr>
          <w:rFonts w:hint="eastAsia" w:ascii="宋体" w:hAnsi="宋体" w:eastAsia="宋体" w:cs="宋体"/>
          <w:color w:val="auto"/>
          <w:sz w:val="24"/>
          <w:lang w:val="en-US" w:eastAsia="zh-CN"/>
        </w:rPr>
        <w:t>智慧运营平台、</w:t>
      </w:r>
      <w:r>
        <w:rPr>
          <w:rFonts w:hint="eastAsia" w:ascii="宋体" w:hAnsi="宋体" w:eastAsia="宋体" w:cs="宋体"/>
          <w:color w:val="auto"/>
          <w:sz w:val="24"/>
          <w:lang w:val="en-US"/>
        </w:rPr>
        <w:t>成本管理系统、排班系统、</w:t>
      </w:r>
      <w:r>
        <w:rPr>
          <w:rFonts w:hint="eastAsia" w:ascii="宋体" w:hAnsi="宋体" w:eastAsia="宋体" w:cs="宋体"/>
          <w:color w:val="auto"/>
          <w:sz w:val="24"/>
          <w:lang w:val="en-US" w:eastAsia="zh-CN"/>
        </w:rPr>
        <w:t>人力资源</w:t>
      </w:r>
      <w:r>
        <w:rPr>
          <w:rFonts w:hint="eastAsia" w:ascii="宋体" w:hAnsi="宋体" w:eastAsia="宋体" w:cs="宋体"/>
          <w:color w:val="auto"/>
          <w:sz w:val="24"/>
          <w:lang w:val="en-US"/>
        </w:rPr>
        <w:t>管理系统、财务管理系统、互联网医院、OA</w:t>
      </w:r>
      <w:r>
        <w:rPr>
          <w:rFonts w:hint="eastAsia" w:ascii="宋体" w:hAnsi="宋体" w:eastAsia="宋体" w:cs="宋体"/>
          <w:color w:val="auto"/>
          <w:sz w:val="24"/>
          <w:lang w:val="en-US" w:eastAsia="zh-CN"/>
        </w:rPr>
        <w:t>平台</w:t>
      </w:r>
      <w:r>
        <w:rPr>
          <w:rFonts w:hint="eastAsia" w:ascii="宋体" w:hAnsi="宋体" w:eastAsia="宋体" w:cs="宋体"/>
          <w:color w:val="auto"/>
          <w:sz w:val="24"/>
          <w:lang w:val="en-US"/>
        </w:rPr>
        <w:t>、自助服务平台、DRG管理、绩效管理、电子发票、短信平台、财务电子档案等其他所有医院相关业务系统（包括以上医院系统但不仅限于以上系统）进行免费接口对接，实现数据交换。</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lang w:val="en-US"/>
        </w:rPr>
        <w:t>.3</w:t>
      </w:r>
      <w:r>
        <w:rPr>
          <w:rFonts w:hint="eastAsia" w:ascii="宋体" w:hAnsi="宋体" w:eastAsia="宋体" w:cs="宋体"/>
          <w:color w:val="auto"/>
          <w:sz w:val="24"/>
          <w:lang w:val="en-US" w:eastAsia="zh-CN"/>
        </w:rPr>
        <w:t>软件</w:t>
      </w:r>
      <w:r>
        <w:rPr>
          <w:rFonts w:hint="eastAsia" w:ascii="宋体" w:hAnsi="宋体" w:eastAsia="宋体" w:cs="宋体"/>
          <w:color w:val="auto"/>
          <w:sz w:val="24"/>
          <w:lang w:val="en-US"/>
        </w:rPr>
        <w:t>满足ISO20387生物样本库质量和能力认可准则</w:t>
      </w:r>
      <w:r>
        <w:rPr>
          <w:rFonts w:hint="eastAsia" w:ascii="宋体" w:hAnsi="宋体" w:eastAsia="宋体" w:cs="宋体"/>
          <w:color w:val="auto"/>
          <w:sz w:val="24"/>
          <w:lang w:val="en-US" w:eastAsia="zh-CN"/>
        </w:rPr>
        <w:t>。</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eastAsia="zh-CN"/>
        </w:rPr>
        <w:t>5.4满足</w:t>
      </w:r>
      <w:r>
        <w:rPr>
          <w:rFonts w:hint="eastAsia" w:ascii="宋体" w:hAnsi="宋体" w:eastAsia="宋体" w:cs="宋体"/>
          <w:color w:val="auto"/>
          <w:sz w:val="24"/>
          <w:lang w:val="en-US"/>
        </w:rPr>
        <w:t>医院电子病历系统功能应用水平分级评价达到6级以上评审、医院信息互联互通标准化成熟度测评达到</w:t>
      </w:r>
      <w:r>
        <w:rPr>
          <w:rFonts w:hint="eastAsia" w:ascii="宋体" w:hAnsi="宋体" w:eastAsia="宋体" w:cs="宋体"/>
          <w:color w:val="auto"/>
          <w:sz w:val="24"/>
          <w:lang w:val="en-US" w:eastAsia="zh-CN"/>
        </w:rPr>
        <w:t>五</w:t>
      </w:r>
      <w:r>
        <w:rPr>
          <w:rFonts w:hint="eastAsia" w:ascii="宋体" w:hAnsi="宋体" w:eastAsia="宋体" w:cs="宋体"/>
          <w:color w:val="auto"/>
          <w:sz w:val="24"/>
          <w:lang w:val="en-US"/>
        </w:rPr>
        <w:t>级</w:t>
      </w:r>
      <w:r>
        <w:rPr>
          <w:rFonts w:hint="eastAsia" w:ascii="宋体" w:hAnsi="宋体" w:eastAsia="宋体" w:cs="宋体"/>
          <w:color w:val="auto"/>
          <w:sz w:val="24"/>
          <w:lang w:val="en-US" w:eastAsia="zh-CN"/>
        </w:rPr>
        <w:t>乙</w:t>
      </w:r>
      <w:r>
        <w:rPr>
          <w:rFonts w:hint="eastAsia" w:ascii="宋体" w:hAnsi="宋体" w:eastAsia="宋体" w:cs="宋体"/>
          <w:color w:val="auto"/>
          <w:sz w:val="24"/>
          <w:lang w:val="en-US"/>
        </w:rPr>
        <w:t>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eastAsia="zh-CN"/>
        </w:rPr>
        <w:t>5</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en-US"/>
        </w:rPr>
        <w:t>提供软件免费升级及个性化修改服务，免费实现院方的个性化需求；软件自身错误类问题提供永久性免费修改服务；</w:t>
      </w:r>
    </w:p>
    <w:p>
      <w:pPr>
        <w:pStyle w:val="9"/>
        <w:spacing w:line="360" w:lineRule="auto"/>
        <w:ind w:firstLine="480"/>
        <w:rPr>
          <w:rFonts w:hint="eastAsia" w:ascii="宋体" w:hAnsi="宋体" w:eastAsia="宋体" w:cs="宋体"/>
          <w:color w:val="auto"/>
          <w:sz w:val="24"/>
          <w:lang w:val="en-US"/>
        </w:rPr>
      </w:pPr>
      <w:r>
        <w:rPr>
          <w:rFonts w:hint="eastAsia" w:ascii="宋体" w:hAnsi="宋体" w:eastAsia="宋体" w:cs="宋体"/>
          <w:color w:val="auto"/>
          <w:sz w:val="24"/>
          <w:lang w:val="en-US" w:eastAsia="zh-CN"/>
        </w:rPr>
        <w:t>5</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val="en-US"/>
        </w:rPr>
        <w:t>免费提供医院新增业务信息系统的对接、免费实现医院上级管理部门要求的系统接口对接要求。</w:t>
      </w:r>
    </w:p>
    <w:p>
      <w:pPr>
        <w:pStyle w:val="9"/>
        <w:spacing w:line="360" w:lineRule="auto"/>
        <w:ind w:left="0" w:leftChars="0" w:firstLine="420" w:firstLineChars="0"/>
        <w:rPr>
          <w:rFonts w:hint="eastAsia" w:ascii="宋体" w:hAnsi="宋体" w:eastAsia="宋体" w:cs="宋体"/>
          <w:color w:val="auto"/>
          <w:sz w:val="24"/>
          <w:lang w:val="en-US"/>
        </w:rPr>
      </w:pPr>
      <w:r>
        <w:rPr>
          <w:rFonts w:hint="eastAsia" w:ascii="宋体" w:hAnsi="宋体" w:eastAsia="宋体"/>
          <w:sz w:val="24"/>
          <w:szCs w:val="24"/>
          <w:lang w:val="en-US" w:eastAsia="zh-CN"/>
        </w:rPr>
        <w:t>5</w:t>
      </w:r>
      <w:r>
        <w:rPr>
          <w:rFonts w:hint="eastAsia" w:ascii="宋体" w:hAnsi="宋体" w:eastAsia="宋体"/>
          <w:sz w:val="24"/>
          <w:szCs w:val="24"/>
        </w:rPr>
        <w:t>.</w:t>
      </w:r>
      <w:r>
        <w:rPr>
          <w:rFonts w:hint="eastAsia" w:ascii="宋体" w:hAnsi="宋体" w:eastAsia="宋体"/>
          <w:sz w:val="24"/>
          <w:szCs w:val="24"/>
          <w:lang w:val="en-US" w:eastAsia="zh-CN"/>
        </w:rPr>
        <w:t>7</w:t>
      </w:r>
      <w:r>
        <w:rPr>
          <w:rFonts w:hint="eastAsia" w:ascii="宋体" w:hAnsi="宋体" w:eastAsia="宋体"/>
          <w:sz w:val="24"/>
          <w:szCs w:val="24"/>
        </w:rPr>
        <w:t>若医院更换已对接的业务系统、乙方须免费提供与新业务系统的对接及联调服务。</w:t>
      </w:r>
    </w:p>
    <w:p>
      <w:pPr>
        <w:pStyle w:val="2"/>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5.8项目不限定用户数、并发数、不限定医疗集团内部及院区使用。</w:t>
      </w:r>
    </w:p>
    <w:p>
      <w:pPr>
        <w:pStyle w:val="2"/>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lang w:val="en-US" w:eastAsia="zh-CN"/>
        </w:rPr>
      </w:pPr>
    </w:p>
    <w:p>
      <w:pPr>
        <w:pStyle w:val="2"/>
        <w:pageBreakBefore w:val="0"/>
        <w:widowControl w:val="0"/>
        <w:kinsoku/>
        <w:wordWrap/>
        <w:overflowPunct/>
        <w:topLinePunct w:val="0"/>
        <w:autoSpaceDE/>
        <w:autoSpaceDN/>
        <w:bidi w:val="0"/>
        <w:adjustRightInd/>
        <w:snapToGrid/>
        <w:spacing w:after="0" w:line="312" w:lineRule="auto"/>
        <w:textAlignment w:val="auto"/>
        <w:rPr>
          <w:rFonts w:hint="eastAsia" w:ascii="宋体" w:hAnsi="宋体" w:eastAsia="宋体" w:cs="宋体"/>
          <w:b/>
          <w:bCs/>
          <w:color w:val="auto"/>
          <w:sz w:val="28"/>
          <w:lang w:val="en-US" w:eastAsia="zh-CN"/>
        </w:rPr>
      </w:pPr>
      <w:r>
        <w:rPr>
          <w:rFonts w:hint="eastAsia" w:ascii="宋体" w:hAnsi="宋体" w:eastAsia="宋体" w:cs="宋体"/>
          <w:b/>
          <w:bCs/>
          <w:color w:val="auto"/>
          <w:sz w:val="28"/>
          <w:lang w:val="en-US" w:eastAsia="zh-CN"/>
        </w:rPr>
        <w:t>六、项目实施要求</w:t>
      </w:r>
    </w:p>
    <w:p>
      <w:pPr>
        <w:pStyle w:val="3"/>
        <w:numPr>
          <w:ilvl w:val="0"/>
          <w:numId w:val="0"/>
        </w:numPr>
        <w:spacing w:before="120" w:after="120" w:line="360" w:lineRule="auto"/>
        <w:ind w:leftChars="0" w:firstLine="420" w:firstLineChars="0"/>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6.1驻场、实施工期要求：</w:t>
      </w:r>
    </w:p>
    <w:p>
      <w:pPr>
        <w:pStyle w:val="3"/>
        <w:numPr>
          <w:ilvl w:val="0"/>
          <w:numId w:val="0"/>
        </w:numPr>
        <w:spacing w:before="120" w:after="120" w:line="360" w:lineRule="auto"/>
        <w:ind w:leftChars="0" w:firstLine="420" w:firstLineChars="0"/>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6.1.1合同签订后，7个工作日内项目实施人员必须进场，系统需在3个月内完成项目实施上线（不含中国人类遗传资源（保藏）申报服务），请分别列出每个系统实施的工作计划及周期。</w:t>
      </w:r>
    </w:p>
    <w:p>
      <w:pPr>
        <w:pStyle w:val="3"/>
        <w:numPr>
          <w:ilvl w:val="0"/>
          <w:numId w:val="0"/>
        </w:numPr>
        <w:spacing w:before="120" w:after="120" w:line="360" w:lineRule="auto"/>
        <w:ind w:leftChars="0" w:firstLine="420" w:firstLineChars="0"/>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6.1.2辅助用户中国人类遗传资源（保藏）申报并通过周期：辅助用户通过申报中国人类遗传资源（保藏）资质周期不得超过150 个工作日（请提供提供承诺函，不可抗力因素除外）。</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eastAsia="zh-CN"/>
        </w:rPr>
        <w:t>6</w:t>
      </w:r>
      <w:r>
        <w:rPr>
          <w:rFonts w:hint="eastAsia" w:ascii="宋体" w:hAnsi="宋体" w:eastAsia="宋体" w:cs="宋体"/>
          <w:color w:val="auto"/>
          <w:sz w:val="24"/>
          <w:lang w:val="en-US"/>
        </w:rPr>
        <w:t>.2人员要求：</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6.2.1实施工程师：</w:t>
      </w:r>
      <w:r>
        <w:rPr>
          <w:rFonts w:hint="eastAsia" w:ascii="宋体" w:hAnsi="宋体" w:eastAsia="宋体" w:cs="宋体"/>
          <w:color w:val="auto"/>
          <w:sz w:val="24"/>
          <w:lang w:val="en-US"/>
        </w:rPr>
        <w:t>项目驻场</w:t>
      </w:r>
      <w:r>
        <w:rPr>
          <w:rFonts w:hint="eastAsia" w:ascii="宋体" w:hAnsi="宋体" w:eastAsia="宋体" w:cs="宋体"/>
          <w:color w:val="auto"/>
          <w:sz w:val="24"/>
          <w:lang w:val="en-US" w:eastAsia="zh-CN"/>
        </w:rPr>
        <w:t>实施工程师</w:t>
      </w:r>
      <w:r>
        <w:rPr>
          <w:rFonts w:hint="eastAsia" w:ascii="宋体" w:hAnsi="宋体" w:eastAsia="宋体" w:cs="宋体"/>
          <w:color w:val="auto"/>
          <w:sz w:val="24"/>
          <w:lang w:val="en-US"/>
        </w:rPr>
        <w:t>需有2年以上</w:t>
      </w:r>
      <w:r>
        <w:rPr>
          <w:rFonts w:hint="eastAsia" w:ascii="宋体" w:hAnsi="宋体" w:eastAsia="宋体" w:cs="宋体"/>
          <w:color w:val="auto"/>
          <w:sz w:val="24"/>
          <w:lang w:val="en-US" w:eastAsia="zh-CN"/>
        </w:rPr>
        <w:t>本厂商</w:t>
      </w:r>
      <w:r>
        <w:rPr>
          <w:rFonts w:hint="eastAsia" w:ascii="宋体" w:hAnsi="宋体" w:eastAsia="宋体" w:cs="宋体"/>
          <w:color w:val="auto"/>
          <w:sz w:val="24"/>
          <w:lang w:val="en-US"/>
        </w:rPr>
        <w:t>同等项目实施经验</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项目实施</w:t>
      </w:r>
      <w:r>
        <w:rPr>
          <w:rFonts w:hint="eastAsia" w:ascii="宋体" w:hAnsi="宋体" w:eastAsia="宋体" w:cs="宋体"/>
          <w:color w:val="auto"/>
          <w:sz w:val="24"/>
          <w:lang w:val="en-US" w:eastAsia="zh-CN"/>
        </w:rPr>
        <w:t>阶段</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驻场</w:t>
      </w:r>
      <w:r>
        <w:rPr>
          <w:rFonts w:hint="eastAsia" w:ascii="宋体" w:hAnsi="宋体" w:eastAsia="宋体" w:cs="宋体"/>
          <w:color w:val="auto"/>
          <w:sz w:val="24"/>
          <w:lang w:val="en-US"/>
        </w:rPr>
        <w:t>实施</w:t>
      </w:r>
      <w:r>
        <w:rPr>
          <w:rFonts w:hint="eastAsia" w:ascii="宋体" w:hAnsi="宋体" w:eastAsia="宋体" w:cs="宋体"/>
          <w:color w:val="auto"/>
          <w:sz w:val="24"/>
          <w:lang w:val="en-US" w:eastAsia="zh-CN"/>
        </w:rPr>
        <w:t>工程师</w:t>
      </w:r>
      <w:r>
        <w:rPr>
          <w:rFonts w:hint="eastAsia" w:ascii="宋体" w:hAnsi="宋体" w:eastAsia="宋体" w:cs="宋体"/>
          <w:color w:val="auto"/>
          <w:sz w:val="24"/>
          <w:lang w:val="en-US"/>
        </w:rPr>
        <w:t>不得少于</w:t>
      </w:r>
      <w:r>
        <w:rPr>
          <w:rFonts w:hint="eastAsia" w:ascii="宋体" w:hAnsi="宋体" w:eastAsia="宋体" w:cs="宋体"/>
          <w:color w:val="auto"/>
          <w:sz w:val="24"/>
          <w:lang w:val="en-US" w:eastAsia="zh-CN"/>
        </w:rPr>
        <w:t>1</w:t>
      </w:r>
      <w:r>
        <w:rPr>
          <w:rFonts w:hint="eastAsia" w:ascii="宋体" w:hAnsi="宋体" w:eastAsia="宋体" w:cs="宋体"/>
          <w:color w:val="auto"/>
          <w:sz w:val="24"/>
          <w:lang w:val="en-US"/>
        </w:rPr>
        <w:t>名</w:t>
      </w:r>
      <w:r>
        <w:rPr>
          <w:rFonts w:hint="eastAsia" w:ascii="宋体" w:hAnsi="宋体" w:eastAsia="宋体" w:cs="宋体"/>
          <w:color w:val="auto"/>
          <w:sz w:val="24"/>
          <w:lang w:val="en-US" w:eastAsia="zh-CN"/>
        </w:rPr>
        <w:t>。</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6.2.2开发工程师：</w:t>
      </w:r>
      <w:r>
        <w:rPr>
          <w:rFonts w:hint="eastAsia" w:ascii="宋体" w:hAnsi="宋体" w:eastAsia="宋体" w:cs="宋体"/>
          <w:color w:val="auto"/>
          <w:sz w:val="24"/>
          <w:lang w:val="en-US"/>
        </w:rPr>
        <w:t>项目</w:t>
      </w:r>
      <w:r>
        <w:rPr>
          <w:rFonts w:hint="eastAsia" w:ascii="宋体" w:hAnsi="宋体" w:eastAsia="宋体" w:cs="宋体"/>
          <w:color w:val="auto"/>
          <w:sz w:val="24"/>
          <w:lang w:val="en-US" w:eastAsia="zh-CN"/>
        </w:rPr>
        <w:t>上线验收前需有固定的</w:t>
      </w:r>
      <w:r>
        <w:rPr>
          <w:rFonts w:hint="eastAsia" w:ascii="宋体" w:hAnsi="宋体" w:eastAsia="宋体" w:cs="宋体"/>
          <w:color w:val="auto"/>
          <w:sz w:val="24"/>
          <w:lang w:val="en-US"/>
        </w:rPr>
        <w:t>开发工程师</w:t>
      </w:r>
      <w:r>
        <w:rPr>
          <w:rFonts w:hint="eastAsia" w:ascii="宋体" w:hAnsi="宋体" w:eastAsia="宋体" w:cs="宋体"/>
          <w:color w:val="auto"/>
          <w:sz w:val="24"/>
          <w:lang w:val="en-US" w:eastAsia="zh-CN"/>
        </w:rPr>
        <w:t>远程支持，开发工程师</w:t>
      </w:r>
      <w:r>
        <w:rPr>
          <w:rFonts w:hint="eastAsia" w:ascii="宋体" w:hAnsi="宋体" w:eastAsia="宋体" w:cs="宋体"/>
          <w:color w:val="auto"/>
          <w:sz w:val="24"/>
          <w:lang w:val="en-US"/>
        </w:rPr>
        <w:t>需有</w:t>
      </w:r>
      <w:r>
        <w:rPr>
          <w:rFonts w:hint="eastAsia" w:ascii="宋体" w:hAnsi="宋体" w:eastAsia="宋体" w:cs="宋体"/>
          <w:color w:val="auto"/>
          <w:sz w:val="24"/>
          <w:lang w:val="en-US" w:eastAsia="zh-CN"/>
        </w:rPr>
        <w:t>2</w:t>
      </w:r>
      <w:r>
        <w:rPr>
          <w:rFonts w:hint="eastAsia" w:ascii="宋体" w:hAnsi="宋体" w:eastAsia="宋体" w:cs="宋体"/>
          <w:color w:val="auto"/>
          <w:sz w:val="24"/>
          <w:lang w:val="en-US"/>
        </w:rPr>
        <w:t>年以上</w:t>
      </w:r>
      <w:r>
        <w:rPr>
          <w:rFonts w:hint="eastAsia" w:ascii="宋体" w:hAnsi="宋体" w:eastAsia="宋体" w:cs="宋体"/>
          <w:color w:val="auto"/>
          <w:sz w:val="24"/>
          <w:lang w:val="en-US" w:eastAsia="zh-CN"/>
        </w:rPr>
        <w:t>本厂商</w:t>
      </w:r>
      <w:r>
        <w:rPr>
          <w:rFonts w:hint="eastAsia" w:ascii="宋体" w:hAnsi="宋体" w:eastAsia="宋体" w:cs="宋体"/>
          <w:color w:val="auto"/>
          <w:sz w:val="24"/>
          <w:lang w:val="en-US"/>
        </w:rPr>
        <w:t>同类型项目开发经验</w:t>
      </w:r>
      <w:r>
        <w:rPr>
          <w:rFonts w:hint="eastAsia" w:ascii="宋体" w:hAnsi="宋体" w:eastAsia="宋体" w:cs="宋体"/>
          <w:color w:val="auto"/>
          <w:sz w:val="24"/>
          <w:lang w:val="en-US" w:eastAsia="zh-CN"/>
        </w:rPr>
        <w:t>。</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6.2.3如项目上线无法正常开展工作、项目实施超期，按医院要求，必须增加实施工程师及开发工程师推进项目进度。</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6.2.4</w:t>
      </w:r>
      <w:r>
        <w:rPr>
          <w:rFonts w:hint="eastAsia" w:ascii="宋体" w:hAnsi="宋体" w:eastAsia="宋体" w:cs="宋体"/>
          <w:color w:val="auto"/>
          <w:sz w:val="24"/>
          <w:lang w:val="en-US"/>
        </w:rPr>
        <w:t>如需更换</w:t>
      </w:r>
      <w:r>
        <w:rPr>
          <w:rFonts w:hint="eastAsia" w:ascii="宋体" w:hAnsi="宋体" w:eastAsia="宋体" w:cs="宋体"/>
          <w:color w:val="auto"/>
          <w:sz w:val="24"/>
          <w:lang w:val="en-US" w:eastAsia="zh-CN"/>
        </w:rPr>
        <w:t>现场实施工程师</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厂商</w:t>
      </w:r>
      <w:r>
        <w:rPr>
          <w:rFonts w:hint="eastAsia" w:ascii="宋体" w:hAnsi="宋体" w:eastAsia="宋体" w:cs="宋体"/>
          <w:color w:val="auto"/>
          <w:sz w:val="24"/>
          <w:lang w:val="en-US"/>
        </w:rPr>
        <w:t>需提交书面申请，经院方同意才可更换。</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6.2.5竞标文件中需提供软件提供商项目人员清单及详细信息（含项目开发和项目实施人员）。</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6.2.6</w:t>
      </w:r>
      <w:r>
        <w:rPr>
          <w:rFonts w:hint="eastAsia" w:ascii="宋体" w:hAnsi="宋体" w:eastAsia="宋体" w:cs="宋体"/>
          <w:color w:val="auto"/>
          <w:sz w:val="24"/>
          <w:szCs w:val="24"/>
        </w:rPr>
        <w:t>因厂商与院方存在对需求理解有差异的可能性，要求所有软件功能需求的响应以院方意见为准</w:t>
      </w:r>
      <w:r>
        <w:rPr>
          <w:rFonts w:hint="eastAsia" w:ascii="宋体" w:hAnsi="宋体" w:eastAsia="宋体" w:cs="宋体"/>
          <w:color w:val="auto"/>
          <w:sz w:val="24"/>
          <w:szCs w:val="24"/>
          <w:lang w:eastAsia="zh-CN"/>
        </w:rPr>
        <w:t>。</w:t>
      </w:r>
    </w:p>
    <w:p>
      <w:pPr>
        <w:pStyle w:val="2"/>
        <w:rPr>
          <w:lang w:val="en-US"/>
        </w:rPr>
      </w:pPr>
    </w:p>
    <w:p>
      <w:pPr>
        <w:pStyle w:val="3"/>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sz w:val="32"/>
          <w:szCs w:val="32"/>
        </w:rPr>
      </w:pPr>
      <w:r>
        <w:rPr>
          <w:rFonts w:hint="eastAsia" w:ascii="宋体" w:hAnsi="宋体"/>
          <w:bCs w:val="0"/>
          <w:sz w:val="32"/>
          <w:szCs w:val="32"/>
          <w:lang w:eastAsia="zh-CN"/>
        </w:rPr>
        <w:t>七</w:t>
      </w:r>
      <w:r>
        <w:rPr>
          <w:rFonts w:hint="eastAsia" w:ascii="宋体" w:hAnsi="宋体"/>
          <w:bCs w:val="0"/>
          <w:sz w:val="32"/>
          <w:szCs w:val="32"/>
        </w:rPr>
        <w:t>、</w:t>
      </w:r>
      <w:r>
        <w:rPr>
          <w:rFonts w:hint="eastAsia" w:ascii="宋体" w:hAnsi="宋体"/>
          <w:bCs w:val="0"/>
          <w:sz w:val="32"/>
          <w:szCs w:val="32"/>
          <w:lang w:eastAsia="zh-CN"/>
        </w:rPr>
        <w:t>售后</w:t>
      </w:r>
      <w:r>
        <w:rPr>
          <w:rFonts w:hint="eastAsia" w:ascii="宋体" w:hAnsi="宋体"/>
          <w:bCs w:val="0"/>
          <w:sz w:val="32"/>
          <w:szCs w:val="32"/>
        </w:rPr>
        <w:t>服务及其他要求</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sz w:val="24"/>
          <w:szCs w:val="24"/>
          <w:lang w:val="en-US" w:eastAsia="zh-CN"/>
        </w:rPr>
        <w:t>7</w:t>
      </w:r>
      <w:r>
        <w:rPr>
          <w:rFonts w:hint="eastAsia" w:ascii="宋体" w:hAnsi="宋体" w:cs="宋体"/>
          <w:sz w:val="24"/>
          <w:szCs w:val="24"/>
        </w:rPr>
        <w:t>.1自本项目整体最终验收之日起，</w:t>
      </w:r>
      <w:r>
        <w:rPr>
          <w:rFonts w:hint="eastAsia" w:ascii="宋体" w:hAnsi="宋体" w:cs="宋体"/>
          <w:sz w:val="24"/>
          <w:szCs w:val="24"/>
          <w:lang w:eastAsia="zh-CN"/>
        </w:rPr>
        <w:t>项目</w:t>
      </w:r>
      <w:r>
        <w:rPr>
          <w:rFonts w:hint="eastAsia" w:ascii="宋体" w:hAnsi="宋体" w:eastAsia="宋体" w:cs="宋体"/>
          <w:color w:val="auto"/>
          <w:sz w:val="24"/>
          <w:szCs w:val="24"/>
        </w:rPr>
        <w:t>提供三年的免费</w:t>
      </w:r>
      <w:r>
        <w:rPr>
          <w:rFonts w:hint="eastAsia" w:ascii="宋体" w:hAnsi="宋体" w:eastAsia="宋体" w:cs="宋体"/>
          <w:color w:val="auto"/>
          <w:sz w:val="24"/>
          <w:szCs w:val="24"/>
          <w:lang w:eastAsia="zh-CN"/>
        </w:rPr>
        <w:t>质</w:t>
      </w:r>
      <w:r>
        <w:rPr>
          <w:rFonts w:hint="eastAsia" w:ascii="宋体" w:hAnsi="宋体" w:eastAsia="宋体" w:cs="宋体"/>
          <w:color w:val="auto"/>
          <w:sz w:val="24"/>
          <w:szCs w:val="24"/>
        </w:rPr>
        <w:t>保服务</w:t>
      </w:r>
      <w:r>
        <w:rPr>
          <w:rFonts w:hint="eastAsia" w:ascii="宋体" w:hAnsi="宋体" w:eastAsia="宋体" w:cs="宋体"/>
          <w:color w:val="auto"/>
          <w:sz w:val="24"/>
          <w:szCs w:val="24"/>
          <w:lang w:eastAsia="zh-CN"/>
        </w:rPr>
        <w:t>（硬件货物提供一年质保），质保</w:t>
      </w:r>
      <w:r>
        <w:rPr>
          <w:rFonts w:hint="eastAsia" w:ascii="宋体" w:hAnsi="宋体" w:eastAsia="宋体" w:cs="宋体"/>
          <w:color w:val="auto"/>
          <w:sz w:val="24"/>
          <w:szCs w:val="24"/>
        </w:rPr>
        <w:t>含软硬件维护和系统软件升级、技术支持服务、系统管理及操作培训，免费提供系统个性化修改需求。请详细说明售后服务的内容。</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.2安装调试要求：免费送货上门、安装调试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提供完善的设备及软件系统使用中文操作手册、图纸、网络详细拓扑图、系统配置、功能配置、设备配置及互联记录；</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cs="宋体"/>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.3原厂技术人员免费提供</w:t>
      </w:r>
      <w:r>
        <w:rPr>
          <w:rFonts w:hint="eastAsia" w:ascii="宋体" w:hAnsi="宋体" w:eastAsia="宋体" w:cs="宋体"/>
          <w:color w:val="auto"/>
          <w:sz w:val="24"/>
          <w:szCs w:val="24"/>
          <w:lang w:eastAsia="zh-CN"/>
        </w:rPr>
        <w:t>售后</w:t>
      </w:r>
      <w:r>
        <w:rPr>
          <w:rFonts w:hint="eastAsia" w:ascii="宋体" w:hAnsi="宋体" w:eastAsia="宋体" w:cs="宋体"/>
          <w:color w:val="auto"/>
          <w:sz w:val="24"/>
          <w:szCs w:val="24"/>
        </w:rPr>
        <w:t>服务，含电话支持、现场响应、远程</w:t>
      </w:r>
      <w:r>
        <w:rPr>
          <w:rFonts w:hint="eastAsia" w:ascii="宋体" w:hAnsi="宋体" w:cs="宋体"/>
          <w:sz w:val="24"/>
          <w:szCs w:val="24"/>
        </w:rPr>
        <w:t>操作、网上客服中心等多种方式服务，应做到7×24小时全天候电话或微信等常用联系方式响应。</w:t>
      </w:r>
      <w:bookmarkStart w:id="1" w:name="_Toc507405798"/>
      <w:r>
        <w:rPr>
          <w:rFonts w:hint="eastAsia" w:ascii="宋体" w:hAnsi="宋体" w:cs="宋体"/>
          <w:sz w:val="24"/>
          <w:szCs w:val="24"/>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eastAsia="宋体" w:cs="微软雅黑"/>
          <w:sz w:val="24"/>
          <w:szCs w:val="24"/>
          <w:lang w:val="en-US" w:eastAsia="zh-CN"/>
        </w:rPr>
        <w:t>7</w:t>
      </w:r>
      <w:r>
        <w:rPr>
          <w:rFonts w:hint="eastAsia" w:ascii="宋体" w:hAnsi="宋体" w:eastAsia="宋体" w:cs="微软雅黑"/>
          <w:sz w:val="24"/>
          <w:szCs w:val="24"/>
        </w:rPr>
        <w:t>.4</w:t>
      </w:r>
      <w:r>
        <w:rPr>
          <w:rFonts w:hint="eastAsia" w:ascii="宋体" w:hAnsi="宋体" w:cs="宋体"/>
          <w:sz w:val="24"/>
          <w:szCs w:val="24"/>
        </w:rPr>
        <w:t>供应商提供原厂技术人员定期回访</w:t>
      </w:r>
      <w:r>
        <w:rPr>
          <w:rFonts w:hint="eastAsia" w:ascii="宋体" w:hAnsi="宋体" w:cs="宋体"/>
          <w:sz w:val="24"/>
          <w:szCs w:val="24"/>
          <w:lang w:eastAsia="zh-CN"/>
        </w:rPr>
        <w:t>巡检</w:t>
      </w:r>
      <w:r>
        <w:rPr>
          <w:rFonts w:hint="eastAsia" w:ascii="宋体" w:hAnsi="宋体" w:cs="宋体"/>
          <w:sz w:val="24"/>
          <w:szCs w:val="24"/>
        </w:rPr>
        <w:t>服务，通过电话或其他方式了解产品使用情况及网络安全情况，</w:t>
      </w:r>
      <w:r>
        <w:rPr>
          <w:rFonts w:hint="eastAsia" w:ascii="宋体" w:hAnsi="宋体" w:cs="宋体"/>
          <w:sz w:val="24"/>
          <w:szCs w:val="24"/>
          <w:lang w:eastAsia="zh-CN"/>
        </w:rPr>
        <w:t>按院方要求巡检，每年的巡检不得少于四次</w:t>
      </w:r>
      <w:r>
        <w:rPr>
          <w:rFonts w:hint="eastAsia" w:ascii="宋体" w:hAnsi="宋体" w:cs="宋体"/>
          <w:sz w:val="24"/>
          <w:szCs w:val="24"/>
        </w:rPr>
        <w:t>，并形成巡检服务报告反馈给我院。</w:t>
      </w:r>
    </w:p>
    <w:p>
      <w:pPr>
        <w:pStyle w:val="2"/>
      </w:pPr>
    </w:p>
    <w:p>
      <w:pPr>
        <w:pStyle w:val="2"/>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eastAsia="zh-CN"/>
        </w:rPr>
        <w:t>八</w:t>
      </w:r>
      <w:r>
        <w:rPr>
          <w:rFonts w:hint="eastAsia" w:ascii="宋体" w:hAnsi="宋体" w:eastAsia="宋体" w:cs="宋体"/>
          <w:b/>
          <w:bCs/>
          <w:color w:val="auto"/>
          <w:sz w:val="28"/>
          <w:lang w:val="en-US"/>
        </w:rPr>
        <w:t>、违约责任</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.1投标方所提供的</w:t>
      </w:r>
      <w:r>
        <w:rPr>
          <w:rFonts w:hint="eastAsia" w:ascii="宋体" w:hAnsi="宋体" w:cs="宋体"/>
          <w:sz w:val="24"/>
          <w:szCs w:val="24"/>
          <w:lang w:val="en-US" w:eastAsia="zh-CN"/>
        </w:rPr>
        <w:t>产品</w:t>
      </w:r>
      <w:r>
        <w:rPr>
          <w:rFonts w:hint="eastAsia" w:ascii="宋体" w:hAnsi="宋体" w:cs="宋体"/>
          <w:sz w:val="24"/>
          <w:szCs w:val="24"/>
        </w:rPr>
        <w:t>规格、技术标准、</w:t>
      </w:r>
      <w:r>
        <w:rPr>
          <w:rFonts w:hint="eastAsia" w:ascii="宋体" w:hAnsi="宋体" w:cs="宋体"/>
          <w:sz w:val="24"/>
          <w:szCs w:val="24"/>
          <w:lang w:eastAsia="zh-CN"/>
        </w:rPr>
        <w:t>硬件</w:t>
      </w:r>
      <w:r>
        <w:rPr>
          <w:rFonts w:hint="eastAsia" w:ascii="宋体" w:hAnsi="宋体" w:cs="宋体"/>
          <w:sz w:val="24"/>
          <w:szCs w:val="24"/>
        </w:rPr>
        <w:t>等质量不合格的，应及时更换，更换不及时的按逾期交货</w:t>
      </w:r>
      <w:r>
        <w:rPr>
          <w:rFonts w:hint="eastAsia" w:ascii="宋体" w:hAnsi="宋体" w:cs="宋体"/>
          <w:sz w:val="24"/>
          <w:szCs w:val="24"/>
          <w:lang w:val="en-US" w:eastAsia="zh-CN"/>
        </w:rPr>
        <w:t>/交付</w:t>
      </w:r>
      <w:r>
        <w:rPr>
          <w:rFonts w:hint="eastAsia" w:ascii="宋体" w:hAnsi="宋体" w:cs="宋体"/>
          <w:sz w:val="24"/>
          <w:szCs w:val="24"/>
        </w:rPr>
        <w:t>处罚；因质量问题我院不同意接收，投标方应向我院支付违约货款额5%违约金并赔偿我院经济损失。</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.2</w:t>
      </w:r>
      <w:r>
        <w:rPr>
          <w:rFonts w:hint="eastAsia" w:ascii="宋体" w:hAnsi="宋体" w:cs="宋体"/>
          <w:sz w:val="24"/>
          <w:szCs w:val="24"/>
          <w:lang w:eastAsia="zh-CN"/>
        </w:rPr>
        <w:t>若</w:t>
      </w:r>
      <w:r>
        <w:rPr>
          <w:rFonts w:hint="eastAsia" w:ascii="宋体" w:hAnsi="宋体" w:cs="宋体"/>
          <w:sz w:val="24"/>
          <w:szCs w:val="24"/>
        </w:rPr>
        <w:t>投标方提供的</w:t>
      </w:r>
      <w:r>
        <w:rPr>
          <w:rFonts w:hint="eastAsia" w:ascii="宋体" w:hAnsi="宋体" w:cs="宋体"/>
          <w:sz w:val="24"/>
          <w:szCs w:val="24"/>
          <w:lang w:eastAsia="zh-CN"/>
        </w:rPr>
        <w:t>产品或软件</w:t>
      </w:r>
      <w:r>
        <w:rPr>
          <w:rFonts w:hint="eastAsia" w:ascii="宋体" w:hAnsi="宋体" w:cs="宋体"/>
          <w:sz w:val="24"/>
          <w:szCs w:val="24"/>
        </w:rPr>
        <w:t>侵犯了第三方合法权益而引发的任何纠纷或诉讼，均由投标方负责交涉并承担全部责任。</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ascii="宋体" w:hAnsi="宋体" w:eastAsia="宋体" w:cs="宋体"/>
          <w:color w:val="auto"/>
          <w:sz w:val="24"/>
          <w:lang w:val="en-US"/>
        </w:rPr>
      </w:pPr>
      <w:r>
        <w:rPr>
          <w:rFonts w:hint="eastAsia" w:ascii="宋体" w:hAnsi="宋体" w:cs="宋体"/>
          <w:sz w:val="24"/>
          <w:szCs w:val="24"/>
          <w:lang w:val="en-US" w:eastAsia="zh-CN"/>
        </w:rPr>
        <w:t>8</w:t>
      </w:r>
      <w:r>
        <w:rPr>
          <w:rFonts w:hint="eastAsia" w:ascii="宋体" w:hAnsi="宋体" w:cs="宋体"/>
          <w:sz w:val="24"/>
          <w:szCs w:val="24"/>
          <w:lang w:val="en-US"/>
        </w:rPr>
        <w:t>.4</w:t>
      </w:r>
      <w:r>
        <w:rPr>
          <w:rFonts w:hint="eastAsia" w:ascii="宋体" w:hAnsi="宋体" w:cs="宋体"/>
          <w:sz w:val="24"/>
          <w:szCs w:val="24"/>
        </w:rPr>
        <w:t>投标方逾期</w:t>
      </w:r>
      <w:r>
        <w:rPr>
          <w:rFonts w:hint="eastAsia" w:ascii="宋体" w:hAnsi="宋体" w:cs="宋体"/>
          <w:sz w:val="24"/>
          <w:szCs w:val="24"/>
          <w:lang w:val="en-US" w:eastAsia="zh-CN"/>
        </w:rPr>
        <w:t>交付</w:t>
      </w:r>
      <w:r>
        <w:rPr>
          <w:rFonts w:hint="eastAsia" w:ascii="宋体" w:hAnsi="宋体" w:cs="宋体"/>
          <w:sz w:val="24"/>
          <w:szCs w:val="24"/>
        </w:rPr>
        <w:t>的，每天向</w:t>
      </w:r>
      <w:r>
        <w:rPr>
          <w:rFonts w:hint="eastAsia" w:ascii="宋体" w:hAnsi="宋体" w:cs="宋体"/>
          <w:sz w:val="24"/>
          <w:szCs w:val="24"/>
          <w:lang w:eastAsia="zh-CN"/>
        </w:rPr>
        <w:t>甲方</w:t>
      </w:r>
      <w:r>
        <w:rPr>
          <w:rFonts w:hint="eastAsia" w:ascii="宋体" w:hAnsi="宋体" w:cs="宋体"/>
          <w:sz w:val="24"/>
          <w:szCs w:val="24"/>
        </w:rPr>
        <w:t>偿付违约货款额3‰违</w:t>
      </w:r>
      <w:r>
        <w:rPr>
          <w:rFonts w:hint="eastAsia" w:ascii="宋体" w:hAnsi="宋体" w:eastAsia="宋体" w:cs="宋体"/>
          <w:color w:val="auto"/>
          <w:sz w:val="24"/>
        </w:rPr>
        <w:t>约金，但违约金累计不得超过违约货款额 5%，超过30天对方有权解除合同，违约方承担因此给对方造成的经济损失；</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8.5售后服务违约：</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8.5.1每缺少1次巡检记录，投标方应向甲方支付违约金5000元；</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8.5.2不能按本技术参数文档第7.3要求中按时提供设备备件的，故障上报24小时不能免费提供同档次或更高档次的备用设备解决问题，每超期一天，按500元/天向甲方支付违约金；</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hint="default"/>
          <w:lang w:val="en-US" w:eastAsia="zh-CN"/>
        </w:rPr>
      </w:pPr>
      <w:r>
        <w:rPr>
          <w:rFonts w:hint="eastAsia" w:ascii="宋体" w:hAnsi="宋体" w:cs="宋体"/>
          <w:sz w:val="24"/>
          <w:szCs w:val="24"/>
          <w:lang w:val="en-US" w:eastAsia="zh-CN"/>
        </w:rPr>
        <w:t>8.5.3</w:t>
      </w:r>
      <w:r>
        <w:rPr>
          <w:rFonts w:hint="eastAsia" w:ascii="宋体" w:hAnsi="宋体" w:eastAsia="宋体" w:cs="宋体"/>
          <w:color w:val="auto"/>
          <w:sz w:val="24"/>
          <w:lang w:val="en-US" w:eastAsia="zh-CN"/>
        </w:rPr>
        <w:t>厂商</w:t>
      </w:r>
      <w:r>
        <w:rPr>
          <w:rFonts w:hint="eastAsia" w:ascii="宋体" w:hAnsi="宋体" w:eastAsia="宋体" w:cs="宋体"/>
          <w:color w:val="auto"/>
          <w:sz w:val="24"/>
          <w:lang w:val="en-US"/>
        </w:rPr>
        <w:t>方未按本技术要求和响应文件中规定的其他服务承诺提供售后服务的，按损失情况，每次应按合同合计金额的0.1%</w:t>
      </w:r>
      <w:r>
        <w:rPr>
          <w:rFonts w:hint="eastAsia" w:ascii="宋体" w:hAnsi="宋体" w:eastAsia="宋体" w:cs="宋体"/>
          <w:color w:val="auto"/>
          <w:sz w:val="24"/>
          <w:lang w:val="en-US" w:eastAsia="zh-CN"/>
        </w:rPr>
        <w:t>--5%由乙方</w:t>
      </w:r>
      <w:r>
        <w:rPr>
          <w:rFonts w:hint="eastAsia" w:ascii="宋体" w:hAnsi="宋体" w:eastAsia="宋体" w:cs="宋体"/>
          <w:color w:val="auto"/>
          <w:sz w:val="24"/>
          <w:lang w:val="en-US"/>
        </w:rPr>
        <w:t>向甲方支付违约金，损失累计金额超过合同款项的5%的，损失方同时有权终止合同并收回已付款项。</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eastAsia="宋体" w:cs="宋体"/>
          <w:color w:val="auto"/>
          <w:sz w:val="24"/>
          <w:lang w:val="en-US"/>
        </w:rPr>
      </w:pPr>
      <w:r>
        <w:rPr>
          <w:rFonts w:hint="eastAsia" w:ascii="宋体" w:hAnsi="宋体" w:cs="宋体"/>
          <w:sz w:val="24"/>
          <w:szCs w:val="24"/>
          <w:lang w:val="en-US" w:eastAsia="zh-CN"/>
        </w:rPr>
        <w:t>8.6合同签订后7个工作日内进场实施，每个模块计划实施周期需在合同内写明。因软件提供商原因逾期不进场实施的，需按每天向院方支付合同款金额3‰作为违约金，超过30天，甲有权解除合同，乙方需承担因此给院方造成的经济损失</w:t>
      </w:r>
      <w:r>
        <w:rPr>
          <w:rFonts w:hint="eastAsia" w:ascii="宋体" w:hAnsi="宋体" w:eastAsia="宋体" w:cs="宋体"/>
          <w:color w:val="auto"/>
          <w:sz w:val="24"/>
        </w:rPr>
        <w:t>；</w:t>
      </w:r>
      <w:r>
        <w:rPr>
          <w:rFonts w:hint="eastAsia" w:ascii="宋体" w:hAnsi="宋体" w:eastAsia="宋体" w:cs="宋体"/>
          <w:color w:val="auto"/>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w:t>
      </w:r>
      <w:r>
        <w:rPr>
          <w:rFonts w:hint="eastAsia" w:ascii="宋体" w:hAnsi="宋体" w:eastAsia="宋体" w:cs="宋体"/>
          <w:color w:val="auto"/>
          <w:sz w:val="24"/>
          <w:lang w:val="en-US" w:eastAsia="zh-CN"/>
        </w:rPr>
        <w:t>乙方</w:t>
      </w:r>
      <w:r>
        <w:rPr>
          <w:rFonts w:hint="eastAsia" w:ascii="宋体" w:hAnsi="宋体" w:eastAsia="宋体" w:cs="宋体"/>
          <w:color w:val="auto"/>
          <w:sz w:val="24"/>
          <w:lang w:val="en-US"/>
        </w:rPr>
        <w:t>违约，</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有权单方面解除合同，并要求</w:t>
      </w:r>
      <w:r>
        <w:rPr>
          <w:rFonts w:hint="eastAsia" w:ascii="宋体" w:hAnsi="宋体" w:eastAsia="宋体" w:cs="宋体"/>
          <w:color w:val="auto"/>
          <w:sz w:val="24"/>
          <w:lang w:val="en-US" w:eastAsia="zh-CN"/>
        </w:rPr>
        <w:t>乙方</w:t>
      </w:r>
      <w:r>
        <w:rPr>
          <w:rFonts w:hint="eastAsia" w:ascii="宋体" w:hAnsi="宋体" w:eastAsia="宋体" w:cs="宋体"/>
          <w:color w:val="auto"/>
          <w:sz w:val="24"/>
          <w:lang w:val="en-US"/>
        </w:rPr>
        <w:t>退回所有医院已支付款项，同时</w:t>
      </w:r>
      <w:r>
        <w:rPr>
          <w:rFonts w:hint="eastAsia" w:ascii="宋体" w:hAnsi="宋体" w:eastAsia="宋体" w:cs="宋体"/>
          <w:color w:val="auto"/>
          <w:sz w:val="24"/>
          <w:lang w:val="en-US" w:eastAsia="zh-CN"/>
        </w:rPr>
        <w:t>按</w:t>
      </w:r>
      <w:r>
        <w:rPr>
          <w:rFonts w:hint="eastAsia" w:ascii="宋体" w:hAnsi="宋体" w:eastAsia="宋体" w:cs="宋体"/>
          <w:color w:val="auto"/>
          <w:sz w:val="24"/>
          <w:lang w:val="en-US"/>
        </w:rPr>
        <w:t>合同总金额的20%做为违约金</w:t>
      </w:r>
      <w:r>
        <w:rPr>
          <w:rFonts w:hint="eastAsia" w:ascii="宋体" w:hAnsi="宋体" w:eastAsia="宋体" w:cs="宋体"/>
          <w:color w:val="auto"/>
          <w:sz w:val="24"/>
          <w:lang w:val="en-US" w:eastAsia="zh-CN"/>
        </w:rPr>
        <w:t>支付给甲方</w:t>
      </w:r>
      <w:r>
        <w:rPr>
          <w:rFonts w:hint="eastAsia" w:ascii="宋体" w:hAnsi="宋体" w:eastAsia="宋体" w:cs="宋体"/>
          <w:color w:val="auto"/>
          <w:sz w:val="24"/>
          <w:lang w:val="en-US"/>
        </w:rPr>
        <w:t>。</w:t>
      </w:r>
    </w:p>
    <w:p>
      <w:pPr>
        <w:pStyle w:val="2"/>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eastAsia="zh-CN"/>
        </w:rPr>
        <w:t>8</w:t>
      </w:r>
      <w:r>
        <w:rPr>
          <w:rFonts w:hint="eastAsia" w:ascii="宋体" w:hAnsi="宋体" w:eastAsia="宋体" w:cs="宋体"/>
          <w:color w:val="auto"/>
          <w:sz w:val="24"/>
          <w:lang w:val="en-US"/>
        </w:rPr>
        <w:t>.7任何一方违反本技术要求中“保密、廉洁条款”要求的，应承担相应的违约责任并赔偿由此造成的损失，损失累计金额超过合同款项的5%的，损失方同时有权终止合同并收回已付款项。</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8.8厂商不得在提供的硬件及软件系统中设置包括且不限于如：软硬件加密狗、加密软件、时间锁、授权码等限制硬件及软件系统正常运行的措施，如有特殊需要必须提交纸质文件说明，经过我院签字同意才可设置，否则视为乙方违约，乙方需要支付医院违约金500000元（伍拾万元），在此基础上医院有权要求乙方退回甲方已支付的所有款项。如对医院造成损失的，甲方有权要求乙方赔偿。</w:t>
      </w:r>
    </w:p>
    <w:p>
      <w:pPr>
        <w:snapToGrid w:val="0"/>
        <w:spacing w:line="276"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8.9</w:t>
      </w:r>
      <w:r>
        <w:rPr>
          <w:rFonts w:hint="eastAsia" w:ascii="宋体" w:hAnsi="宋体" w:eastAsia="宋体" w:cs="宋体"/>
          <w:sz w:val="24"/>
          <w:szCs w:val="24"/>
        </w:rPr>
        <w:t>其它违约行为按违约货款额5%收取违约金并赔偿经济损失。</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eastAsia="宋体" w:cs="宋体"/>
          <w:color w:val="auto"/>
          <w:sz w:val="24"/>
          <w:lang w:val="en-US" w:eastAsia="zh-CN"/>
        </w:rPr>
      </w:pPr>
      <w:r>
        <w:rPr>
          <w:rFonts w:hint="eastAsia" w:ascii="宋体" w:hAnsi="宋体" w:cs="宋体"/>
          <w:sz w:val="24"/>
          <w:szCs w:val="24"/>
          <w:lang w:val="en-US" w:eastAsia="zh-CN"/>
        </w:rPr>
        <w:t>8.10如合同提供方非软件提供商，软件提供商</w:t>
      </w:r>
      <w:r>
        <w:rPr>
          <w:rFonts w:hint="eastAsia" w:ascii="宋体" w:hAnsi="宋体" w:eastAsia="宋体" w:cs="宋体"/>
          <w:color w:val="auto"/>
          <w:sz w:val="24"/>
          <w:lang w:val="en-US" w:eastAsia="zh-CN"/>
        </w:rPr>
        <w:t>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pPr>
        <w:pStyle w:val="2"/>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b/>
          <w:bCs/>
          <w:color w:val="auto"/>
          <w:sz w:val="28"/>
          <w:lang w:val="en-US"/>
        </w:rPr>
      </w:pPr>
      <w:r>
        <w:rPr>
          <w:rFonts w:hint="eastAsia" w:ascii="宋体" w:hAnsi="宋体" w:eastAsia="宋体" w:cs="宋体"/>
          <w:sz w:val="24"/>
          <w:szCs w:val="24"/>
          <w:lang w:val="en-US" w:eastAsia="zh-CN"/>
        </w:rPr>
        <w:t>8.11</w:t>
      </w:r>
      <w:r>
        <w:rPr>
          <w:rFonts w:hint="eastAsia" w:ascii="宋体" w:hAnsi="宋体" w:eastAsia="宋体" w:cs="宋体"/>
          <w:sz w:val="24"/>
          <w:szCs w:val="24"/>
        </w:rPr>
        <w:t>违约方应向守约方支付因主张权利所产生的诉讼费、公证费、保全费、律师</w:t>
      </w:r>
      <w:r>
        <w:rPr>
          <w:rFonts w:hint="eastAsia" w:ascii="宋体" w:hAnsi="宋体" w:eastAsia="宋体" w:cs="宋体"/>
          <w:sz w:val="24"/>
          <w:szCs w:val="24"/>
          <w:lang w:val="en-US" w:eastAsia="zh-CN"/>
        </w:rPr>
        <w:t>代理</w:t>
      </w:r>
      <w:r>
        <w:rPr>
          <w:rFonts w:hint="eastAsia" w:ascii="宋体" w:hAnsi="宋体" w:eastAsia="宋体" w:cs="宋体"/>
          <w:sz w:val="24"/>
          <w:szCs w:val="24"/>
        </w:rPr>
        <w:t>费等一切维权费用。</w:t>
      </w:r>
    </w:p>
    <w:p>
      <w:pPr>
        <w:pStyle w:val="2"/>
        <w:rPr>
          <w:rFonts w:hint="eastAsia"/>
          <w:lang w:val="en-US" w:eastAsia="zh-CN"/>
        </w:rPr>
      </w:pPr>
    </w:p>
    <w:bookmarkEnd w:id="1"/>
    <w:p>
      <w:pPr>
        <w:pStyle w:val="2"/>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bookmarkStart w:id="2" w:name="_Toc507405799"/>
      <w:bookmarkStart w:id="3" w:name="_Toc507405800"/>
      <w:r>
        <w:rPr>
          <w:rFonts w:hint="eastAsia" w:ascii="宋体" w:hAnsi="宋体" w:eastAsia="宋体" w:cs="宋体"/>
          <w:b/>
          <w:bCs/>
          <w:color w:val="auto"/>
          <w:sz w:val="28"/>
          <w:lang w:val="en-US" w:eastAsia="zh-CN"/>
        </w:rPr>
        <w:t>九</w:t>
      </w:r>
      <w:r>
        <w:rPr>
          <w:rFonts w:hint="eastAsia" w:ascii="宋体" w:hAnsi="宋体" w:eastAsia="宋体" w:cs="宋体"/>
          <w:b/>
          <w:bCs/>
          <w:color w:val="auto"/>
          <w:sz w:val="28"/>
          <w:lang w:val="en-US"/>
        </w:rPr>
        <w:t>、保密、廉洁协议</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 双方不得以任何方式向第三方泄露本项目的软件技术、设计方案以及功能配置等内容。</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.3不以任何方式向第三方泄露在本协议开发实施过程中获取的经济、技术、数据以及双方其他非公开的信息。</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.5保密期限自本合同生效之日起永久有效，如乙方需解除保密协议需向甲方提出书面申请，双方协商同意签字确认后方可解除。</w:t>
      </w:r>
    </w:p>
    <w:p>
      <w:pPr>
        <w:pStyle w:val="2"/>
        <w:rPr>
          <w:lang w:val="en-US"/>
        </w:rPr>
      </w:pPr>
    </w:p>
    <w:p>
      <w:pPr>
        <w:pStyle w:val="2"/>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eastAsia="zh-CN"/>
        </w:rPr>
        <w:t>十</w:t>
      </w:r>
      <w:r>
        <w:rPr>
          <w:rFonts w:hint="eastAsia" w:ascii="宋体" w:hAnsi="宋体" w:eastAsia="宋体" w:cs="宋体"/>
          <w:b/>
          <w:bCs/>
          <w:color w:val="auto"/>
          <w:sz w:val="28"/>
          <w:lang w:val="en-US"/>
        </w:rPr>
        <w:t>、报价</w:t>
      </w:r>
    </w:p>
    <w:p>
      <w:pPr>
        <w:pStyle w:val="2"/>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10.1</w:t>
      </w:r>
      <w:r>
        <w:rPr>
          <w:rFonts w:hint="eastAsia" w:ascii="宋体" w:hAnsi="宋体" w:eastAsia="宋体" w:cs="宋体"/>
          <w:color w:val="auto"/>
          <w:sz w:val="24"/>
          <w:szCs w:val="24"/>
        </w:rPr>
        <w:t>竞标文件</w:t>
      </w:r>
      <w:r>
        <w:rPr>
          <w:rFonts w:hint="eastAsia" w:ascii="宋体" w:hAnsi="宋体" w:eastAsia="宋体" w:cs="宋体"/>
          <w:color w:val="auto"/>
          <w:sz w:val="24"/>
          <w:szCs w:val="24"/>
          <w:lang w:eastAsia="zh-CN"/>
        </w:rPr>
        <w:t>提供技术偏离表、服务偏离表</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并标明详细的技术和服务内容。</w:t>
      </w:r>
      <w:r>
        <w:rPr>
          <w:rFonts w:hint="eastAsia" w:ascii="宋体" w:hAnsi="宋体" w:eastAsia="宋体" w:cs="宋体"/>
          <w:color w:val="auto"/>
          <w:sz w:val="24"/>
          <w:szCs w:val="24"/>
        </w:rPr>
        <w:t>报价表价格包含系统软硬件费用</w:t>
      </w:r>
      <w:r>
        <w:rPr>
          <w:rFonts w:hint="eastAsia" w:ascii="宋体" w:hAnsi="宋体" w:eastAsia="宋体" w:cs="宋体"/>
          <w:color w:val="auto"/>
          <w:sz w:val="24"/>
          <w:szCs w:val="24"/>
          <w:lang w:eastAsia="zh-CN"/>
        </w:rPr>
        <w:t>（硬件标明质保期）</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服务费用、</w:t>
      </w:r>
      <w:r>
        <w:rPr>
          <w:rFonts w:hint="eastAsia" w:ascii="宋体" w:hAnsi="宋体" w:eastAsia="宋体" w:cs="宋体"/>
          <w:color w:val="auto"/>
          <w:sz w:val="24"/>
          <w:szCs w:val="24"/>
        </w:rPr>
        <w:t>产品安装、调试实施、培训费用、产品升级费用</w:t>
      </w:r>
      <w:r>
        <w:rPr>
          <w:rFonts w:hint="eastAsia" w:ascii="宋体" w:hAnsi="宋体" w:eastAsia="宋体" w:cs="宋体"/>
          <w:color w:val="auto"/>
          <w:sz w:val="24"/>
          <w:szCs w:val="24"/>
          <w:lang w:eastAsia="zh-CN"/>
        </w:rPr>
        <w:t>、</w:t>
      </w:r>
      <w:r>
        <w:rPr>
          <w:rFonts w:hint="eastAsia" w:ascii="宋体" w:hAnsi="宋体" w:eastAsia="宋体"/>
          <w:color w:val="auto"/>
          <w:sz w:val="24"/>
          <w:szCs w:val="24"/>
        </w:rPr>
        <w:t>接口费（包括第三方厂家的接口费）等费用</w:t>
      </w:r>
      <w:r>
        <w:rPr>
          <w:rFonts w:hint="eastAsia" w:ascii="宋体" w:hAnsi="宋体" w:eastAsia="宋体" w:cs="宋体"/>
          <w:color w:val="auto"/>
          <w:sz w:val="24"/>
          <w:szCs w:val="24"/>
        </w:rPr>
        <w:t>，以及明示所有责任、义务和一切风险。</w:t>
      </w:r>
    </w:p>
    <w:p>
      <w:pPr>
        <w:pStyle w:val="2"/>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10.2</w:t>
      </w:r>
      <w:r>
        <w:rPr>
          <w:rFonts w:hint="eastAsia" w:ascii="宋体" w:hAnsi="宋体" w:eastAsia="宋体" w:cs="宋体"/>
          <w:color w:val="auto"/>
          <w:sz w:val="24"/>
          <w:szCs w:val="24"/>
          <w:lang w:eastAsia="zh-CN"/>
        </w:rPr>
        <w:t>竞标文件需提供</w:t>
      </w:r>
      <w:r>
        <w:rPr>
          <w:rFonts w:hint="eastAsia" w:ascii="宋体" w:hAnsi="宋体" w:cs="宋体"/>
          <w:sz w:val="24"/>
          <w:szCs w:val="24"/>
          <w:lang w:eastAsia="zh-CN"/>
        </w:rPr>
        <w:t>维保期</w:t>
      </w:r>
      <w:r>
        <w:rPr>
          <w:rFonts w:hint="eastAsia" w:ascii="宋体" w:hAnsi="宋体" w:cs="宋体"/>
          <w:sz w:val="24"/>
          <w:szCs w:val="24"/>
        </w:rPr>
        <w:t>方案及</w:t>
      </w:r>
      <w:r>
        <w:rPr>
          <w:rFonts w:hint="eastAsia" w:ascii="宋体" w:hAnsi="宋体" w:cs="宋体"/>
          <w:sz w:val="24"/>
          <w:szCs w:val="24"/>
          <w:lang w:eastAsia="zh-CN"/>
        </w:rPr>
        <w:t>报价</w:t>
      </w:r>
      <w:r>
        <w:rPr>
          <w:rFonts w:hint="eastAsia" w:ascii="宋体" w:hAnsi="宋体" w:eastAsia="宋体" w:cs="宋体"/>
          <w:color w:val="auto"/>
          <w:sz w:val="24"/>
          <w:szCs w:val="24"/>
          <w:lang w:eastAsia="zh-CN"/>
        </w:rPr>
        <w:t>。</w:t>
      </w:r>
    </w:p>
    <w:p>
      <w:pPr>
        <w:pStyle w:val="2"/>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10.3</w:t>
      </w:r>
      <w:r>
        <w:rPr>
          <w:rFonts w:hint="eastAsia" w:ascii="宋体" w:hAnsi="宋体" w:eastAsia="宋体" w:cs="宋体"/>
          <w:color w:val="auto"/>
          <w:sz w:val="24"/>
          <w:szCs w:val="24"/>
          <w:lang w:eastAsia="zh-CN"/>
        </w:rPr>
        <w:t>竞标文件需提供系统详细图文介绍。系统实施验收参照本技术文档及竞标文件提供的图文介绍为依据。</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10.4</w:t>
      </w:r>
      <w:r>
        <w:rPr>
          <w:rFonts w:hint="eastAsia" w:ascii="宋体" w:hAnsi="宋体" w:eastAsia="宋体" w:cs="宋体"/>
          <w:color w:val="auto"/>
          <w:sz w:val="24"/>
          <w:szCs w:val="24"/>
        </w:rPr>
        <w:t>如项目功能二次开发内容涉及我院采购的第三方产品，请在标书内标明哪些功能的实现需要二次开发接口。</w:t>
      </w:r>
    </w:p>
    <w:p>
      <w:pPr>
        <w:pStyle w:val="2"/>
        <w:ind w:firstLine="42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10.5竞标文件提供同等项目业绩案例（含合同首页、验收结果）、人遗申报的服务提供案例（含合同首页）。</w:t>
      </w:r>
    </w:p>
    <w:p>
      <w:pPr>
        <w:pStyle w:val="2"/>
        <w:ind w:firstLine="420" w:firstLineChars="0"/>
        <w:rPr>
          <w:rFonts w:hint="default" w:ascii="宋体" w:hAnsi="宋体" w:eastAsia="宋体" w:cs="宋体"/>
          <w:color w:val="auto"/>
          <w:kern w:val="2"/>
          <w:sz w:val="24"/>
          <w:szCs w:val="24"/>
          <w:lang w:val="en-US" w:eastAsia="zh-CN" w:bidi="ar-SA"/>
        </w:rPr>
      </w:pPr>
      <w:bookmarkStart w:id="4" w:name="_GoBack"/>
      <w:bookmarkEnd w:id="4"/>
    </w:p>
    <w:p>
      <w:pPr>
        <w:pStyle w:val="3"/>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sz w:val="32"/>
          <w:szCs w:val="32"/>
        </w:rPr>
      </w:pPr>
      <w:r>
        <w:rPr>
          <w:rFonts w:hint="eastAsia" w:ascii="宋体" w:hAnsi="宋体"/>
          <w:bCs w:val="0"/>
          <w:sz w:val="32"/>
          <w:szCs w:val="32"/>
          <w:lang w:eastAsia="zh-CN"/>
        </w:rPr>
        <w:t>十一</w:t>
      </w:r>
      <w:r>
        <w:rPr>
          <w:rFonts w:hint="eastAsia" w:ascii="宋体" w:hAnsi="宋体"/>
          <w:bCs w:val="0"/>
          <w:sz w:val="32"/>
          <w:szCs w:val="32"/>
        </w:rPr>
        <w:t>、付款方式</w:t>
      </w:r>
      <w:bookmarkEnd w:id="2"/>
    </w:p>
    <w:p>
      <w:pPr>
        <w:pStyle w:val="9"/>
        <w:spacing w:line="360" w:lineRule="auto"/>
        <w:ind w:left="0" w:leftChars="0" w:firstLine="614" w:firstLineChars="256"/>
        <w:jc w:val="both"/>
        <w:rPr>
          <w:color w:val="auto"/>
          <w:sz w:val="24"/>
          <w:lang w:val="en-US"/>
        </w:rPr>
      </w:pPr>
      <w:r>
        <w:rPr>
          <w:rFonts w:hint="eastAsia" w:ascii="宋体" w:hAnsi="宋体" w:eastAsia="宋体" w:cs="微软雅黑"/>
          <w:sz w:val="24"/>
          <w:szCs w:val="24"/>
        </w:rPr>
        <w:t>项目双方签订</w:t>
      </w:r>
      <w:r>
        <w:rPr>
          <w:rFonts w:hint="eastAsia" w:ascii="宋体" w:hAnsi="宋体" w:eastAsia="宋体" w:cs="微软雅黑"/>
          <w:color w:val="auto"/>
          <w:sz w:val="24"/>
          <w:szCs w:val="24"/>
        </w:rPr>
        <w:t>合同，</w:t>
      </w:r>
      <w:r>
        <w:rPr>
          <w:rFonts w:hint="eastAsia" w:ascii="宋体" w:hAnsi="宋体" w:eastAsia="宋体"/>
          <w:color w:val="auto"/>
          <w:sz w:val="24"/>
          <w:szCs w:val="24"/>
          <w:lang w:val="en-US" w:eastAsia="zh-CN"/>
        </w:rPr>
        <w:t>生物样本管理软件（及配套硬件）上线稳定运行1个月后，</w:t>
      </w:r>
      <w:r>
        <w:rPr>
          <w:rFonts w:hint="eastAsia" w:ascii="宋体" w:hAnsi="宋体" w:eastAsia="宋体" w:cs="微软雅黑"/>
          <w:color w:val="auto"/>
          <w:sz w:val="24"/>
          <w:szCs w:val="24"/>
        </w:rPr>
        <w:t>启动</w:t>
      </w:r>
      <w:r>
        <w:rPr>
          <w:rFonts w:hint="eastAsia" w:ascii="宋体" w:hAnsi="宋体" w:eastAsia="宋体" w:cs="微软雅黑"/>
          <w:color w:val="auto"/>
          <w:sz w:val="24"/>
          <w:szCs w:val="24"/>
          <w:lang w:eastAsia="zh-CN"/>
        </w:rPr>
        <w:t>系统上线</w:t>
      </w:r>
      <w:r>
        <w:rPr>
          <w:rFonts w:hint="eastAsia" w:ascii="宋体" w:hAnsi="宋体" w:eastAsia="宋体" w:cs="微软雅黑"/>
          <w:color w:val="auto"/>
          <w:sz w:val="24"/>
          <w:szCs w:val="24"/>
        </w:rPr>
        <w:t>验收</w:t>
      </w:r>
      <w:r>
        <w:rPr>
          <w:rFonts w:hint="eastAsia" w:ascii="宋体" w:hAnsi="宋体" w:eastAsia="宋体" w:cs="微软雅黑"/>
          <w:color w:val="auto"/>
          <w:sz w:val="24"/>
          <w:szCs w:val="24"/>
          <w:lang w:eastAsia="zh-CN"/>
        </w:rPr>
        <w:t>，上线验收合格后，</w:t>
      </w:r>
      <w:r>
        <w:rPr>
          <w:rFonts w:hint="eastAsia" w:ascii="宋体" w:hAnsi="宋体" w:eastAsia="宋体" w:cs="微软雅黑"/>
          <w:color w:val="auto"/>
          <w:sz w:val="24"/>
          <w:szCs w:val="24"/>
        </w:rPr>
        <w:t>用户支付合同款项的</w:t>
      </w:r>
      <w:r>
        <w:rPr>
          <w:rFonts w:hint="eastAsia" w:ascii="宋体" w:hAnsi="宋体" w:eastAsia="宋体" w:cs="微软雅黑"/>
          <w:color w:val="auto"/>
          <w:sz w:val="24"/>
          <w:szCs w:val="24"/>
          <w:lang w:val="en-US" w:eastAsia="zh-CN"/>
        </w:rPr>
        <w:t>15</w:t>
      </w:r>
      <w:r>
        <w:rPr>
          <w:rFonts w:hint="eastAsia" w:ascii="宋体" w:hAnsi="宋体" w:eastAsia="宋体" w:cs="微软雅黑"/>
          <w:color w:val="auto"/>
          <w:sz w:val="24"/>
          <w:szCs w:val="24"/>
        </w:rPr>
        <w:t>%；</w:t>
      </w:r>
      <w:r>
        <w:rPr>
          <w:rFonts w:hint="eastAsia" w:ascii="宋体" w:hAnsi="宋体" w:eastAsia="宋体" w:cs="微软雅黑"/>
          <w:color w:val="auto"/>
          <w:sz w:val="24"/>
          <w:szCs w:val="24"/>
          <w:lang w:eastAsia="zh-CN"/>
        </w:rPr>
        <w:t>辅助用户申报</w:t>
      </w:r>
      <w:r>
        <w:rPr>
          <w:rFonts w:hint="eastAsia" w:ascii="宋体" w:hAnsi="宋体" w:eastAsia="宋体" w:cs="微软雅黑"/>
          <w:color w:val="auto"/>
          <w:sz w:val="24"/>
          <w:szCs w:val="24"/>
        </w:rPr>
        <w:t>中国人类遗传资源（保藏）</w:t>
      </w:r>
      <w:r>
        <w:rPr>
          <w:rFonts w:hint="eastAsia" w:ascii="宋体" w:hAnsi="宋体" w:eastAsia="宋体" w:cs="微软雅黑"/>
          <w:color w:val="auto"/>
          <w:sz w:val="24"/>
          <w:szCs w:val="24"/>
          <w:lang w:eastAsia="zh-CN"/>
        </w:rPr>
        <w:t>资格，最终获得证书后，</w:t>
      </w:r>
      <w:r>
        <w:rPr>
          <w:rFonts w:hint="eastAsia" w:ascii="宋体" w:hAnsi="宋体" w:eastAsia="宋体" w:cs="微软雅黑"/>
          <w:color w:val="auto"/>
          <w:sz w:val="24"/>
          <w:szCs w:val="24"/>
        </w:rPr>
        <w:t>用户支付合同款项的</w:t>
      </w:r>
      <w:r>
        <w:rPr>
          <w:rFonts w:hint="eastAsia" w:ascii="宋体" w:hAnsi="宋体" w:eastAsia="宋体" w:cs="微软雅黑"/>
          <w:color w:val="auto"/>
          <w:sz w:val="24"/>
          <w:szCs w:val="24"/>
          <w:lang w:val="en-US" w:eastAsia="zh-CN"/>
        </w:rPr>
        <w:t>15</w:t>
      </w:r>
      <w:r>
        <w:rPr>
          <w:rFonts w:hint="eastAsia" w:ascii="宋体" w:hAnsi="宋体" w:eastAsia="宋体" w:cs="微软雅黑"/>
          <w:color w:val="auto"/>
          <w:sz w:val="24"/>
          <w:szCs w:val="24"/>
        </w:rPr>
        <w:t>%；合同</w:t>
      </w:r>
      <w:r>
        <w:rPr>
          <w:rFonts w:hint="eastAsia" w:ascii="宋体" w:hAnsi="宋体" w:eastAsia="宋体" w:cs="微软雅黑"/>
          <w:color w:val="auto"/>
          <w:sz w:val="24"/>
          <w:szCs w:val="24"/>
          <w:lang w:eastAsia="zh-CN"/>
        </w:rPr>
        <w:t>内容全部</w:t>
      </w:r>
      <w:r>
        <w:rPr>
          <w:rFonts w:hint="eastAsia" w:ascii="宋体" w:hAnsi="宋体" w:eastAsia="宋体" w:cs="微软雅黑"/>
          <w:color w:val="auto"/>
          <w:sz w:val="24"/>
          <w:szCs w:val="24"/>
        </w:rPr>
        <w:t>实施完毕，</w:t>
      </w:r>
      <w:r>
        <w:rPr>
          <w:rFonts w:hint="eastAsia" w:ascii="宋体" w:hAnsi="宋体" w:eastAsia="宋体" w:cs="微软雅黑"/>
          <w:color w:val="auto"/>
          <w:sz w:val="24"/>
          <w:szCs w:val="24"/>
          <w:lang w:eastAsia="zh-CN"/>
        </w:rPr>
        <w:t>硬件及系统</w:t>
      </w:r>
      <w:r>
        <w:rPr>
          <w:rFonts w:hint="eastAsia" w:ascii="宋体" w:hAnsi="宋体" w:eastAsia="宋体" w:cs="微软雅黑"/>
          <w:color w:val="auto"/>
          <w:sz w:val="24"/>
          <w:szCs w:val="24"/>
        </w:rPr>
        <w:t>上线稳定运行3个月后，启动</w:t>
      </w:r>
      <w:r>
        <w:rPr>
          <w:rFonts w:hint="eastAsia" w:ascii="宋体" w:hAnsi="宋体" w:eastAsia="宋体" w:cs="微软雅黑"/>
          <w:color w:val="auto"/>
          <w:sz w:val="24"/>
          <w:szCs w:val="24"/>
          <w:lang w:eastAsia="zh-CN"/>
        </w:rPr>
        <w:t>项目整体</w:t>
      </w:r>
      <w:r>
        <w:rPr>
          <w:rFonts w:hint="eastAsia" w:ascii="宋体" w:hAnsi="宋体" w:eastAsia="宋体" w:cs="微软雅黑"/>
          <w:color w:val="auto"/>
          <w:sz w:val="24"/>
          <w:szCs w:val="24"/>
        </w:rPr>
        <w:t>验收，</w:t>
      </w:r>
      <w:r>
        <w:rPr>
          <w:rFonts w:hint="eastAsia" w:ascii="宋体" w:hAnsi="宋体" w:eastAsia="宋体" w:cs="微软雅黑"/>
          <w:color w:val="auto"/>
          <w:sz w:val="24"/>
          <w:szCs w:val="24"/>
          <w:lang w:eastAsia="zh-CN"/>
        </w:rPr>
        <w:t>整体</w:t>
      </w:r>
      <w:r>
        <w:rPr>
          <w:rFonts w:hint="eastAsia" w:ascii="宋体" w:hAnsi="宋体" w:eastAsia="宋体" w:cs="微软雅黑"/>
          <w:color w:val="auto"/>
          <w:sz w:val="24"/>
          <w:szCs w:val="24"/>
        </w:rPr>
        <w:t>验收合格后</w:t>
      </w:r>
      <w:r>
        <w:rPr>
          <w:rFonts w:hint="eastAsia" w:ascii="宋体" w:hAnsi="宋体" w:eastAsia="宋体" w:cs="微软雅黑"/>
          <w:color w:val="auto"/>
          <w:sz w:val="24"/>
          <w:szCs w:val="24"/>
          <w:lang w:eastAsia="zh-CN"/>
        </w:rPr>
        <w:t>甲方支付</w:t>
      </w:r>
      <w:r>
        <w:rPr>
          <w:rFonts w:hint="eastAsia" w:ascii="宋体" w:hAnsi="宋体" w:eastAsia="宋体" w:cs="微软雅黑"/>
          <w:color w:val="auto"/>
          <w:sz w:val="24"/>
          <w:szCs w:val="24"/>
        </w:rPr>
        <w:t>合同款项的60%，自验收合格之日起，</w:t>
      </w:r>
      <w:bookmarkEnd w:id="3"/>
      <w:r>
        <w:rPr>
          <w:rFonts w:hint="eastAsia" w:ascii="宋体" w:hAnsi="宋体" w:eastAsia="宋体"/>
          <w:color w:val="auto"/>
          <w:sz w:val="24"/>
          <w:szCs w:val="24"/>
          <w:lang w:val="en-US" w:eastAsia="zh-CN"/>
        </w:rPr>
        <w:t>稳定运行1年后，甲方支付合同款项的10%（不计利息）。</w:t>
      </w:r>
    </w:p>
    <w:sectPr>
      <w:pgSz w:w="11906" w:h="16838"/>
      <w:pgMar w:top="1304" w:right="1304" w:bottom="130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4B87"/>
    <w:multiLevelType w:val="multilevel"/>
    <w:tmpl w:val="14D84B87"/>
    <w:lvl w:ilvl="0" w:tentative="0">
      <w:start w:val="1"/>
      <w:numFmt w:val="chineseCountingThousand"/>
      <w:pStyle w:val="3"/>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DF"/>
    <w:rsid w:val="000E2410"/>
    <w:rsid w:val="001A11FC"/>
    <w:rsid w:val="001A1C12"/>
    <w:rsid w:val="002A29C0"/>
    <w:rsid w:val="00306E6E"/>
    <w:rsid w:val="003E62DF"/>
    <w:rsid w:val="00435C7C"/>
    <w:rsid w:val="00481560"/>
    <w:rsid w:val="00491534"/>
    <w:rsid w:val="004D3BA6"/>
    <w:rsid w:val="005D449A"/>
    <w:rsid w:val="006A3CAE"/>
    <w:rsid w:val="006C202C"/>
    <w:rsid w:val="00706CE8"/>
    <w:rsid w:val="008C322F"/>
    <w:rsid w:val="00A140D3"/>
    <w:rsid w:val="00B759E0"/>
    <w:rsid w:val="00C568B4"/>
    <w:rsid w:val="00D5380E"/>
    <w:rsid w:val="00DC1FBB"/>
    <w:rsid w:val="00E61AD4"/>
    <w:rsid w:val="00F13AA1"/>
    <w:rsid w:val="02FA6C03"/>
    <w:rsid w:val="032A5F10"/>
    <w:rsid w:val="038608DA"/>
    <w:rsid w:val="054C1779"/>
    <w:rsid w:val="05A81BC0"/>
    <w:rsid w:val="06321A6D"/>
    <w:rsid w:val="066C3EB0"/>
    <w:rsid w:val="06B70FB4"/>
    <w:rsid w:val="06DF14B2"/>
    <w:rsid w:val="072E01FC"/>
    <w:rsid w:val="096B1726"/>
    <w:rsid w:val="0A791D80"/>
    <w:rsid w:val="0C4E7460"/>
    <w:rsid w:val="0CE46FE7"/>
    <w:rsid w:val="0D065626"/>
    <w:rsid w:val="0D6F273E"/>
    <w:rsid w:val="0E584B5A"/>
    <w:rsid w:val="0F2A1F3D"/>
    <w:rsid w:val="109B068D"/>
    <w:rsid w:val="10D91A60"/>
    <w:rsid w:val="13C71141"/>
    <w:rsid w:val="14782DB8"/>
    <w:rsid w:val="14AF00BD"/>
    <w:rsid w:val="153D4F2B"/>
    <w:rsid w:val="15AB285F"/>
    <w:rsid w:val="165C1DAE"/>
    <w:rsid w:val="16C50DF0"/>
    <w:rsid w:val="16ED2D59"/>
    <w:rsid w:val="17536FF6"/>
    <w:rsid w:val="17975AE0"/>
    <w:rsid w:val="180A0E3A"/>
    <w:rsid w:val="184632B1"/>
    <w:rsid w:val="19151124"/>
    <w:rsid w:val="1A251034"/>
    <w:rsid w:val="1A6B494F"/>
    <w:rsid w:val="1AA944D3"/>
    <w:rsid w:val="1B566629"/>
    <w:rsid w:val="1B5C436C"/>
    <w:rsid w:val="1B91509A"/>
    <w:rsid w:val="1BE4712D"/>
    <w:rsid w:val="1C271C21"/>
    <w:rsid w:val="1D845AFB"/>
    <w:rsid w:val="1D9262D5"/>
    <w:rsid w:val="1D9E531A"/>
    <w:rsid w:val="1E4E353A"/>
    <w:rsid w:val="1E5B18F5"/>
    <w:rsid w:val="1F556B92"/>
    <w:rsid w:val="214B73B5"/>
    <w:rsid w:val="22293C01"/>
    <w:rsid w:val="224243ED"/>
    <w:rsid w:val="22943E1A"/>
    <w:rsid w:val="22AC06C2"/>
    <w:rsid w:val="22DA2C22"/>
    <w:rsid w:val="24DA1462"/>
    <w:rsid w:val="24E17D9D"/>
    <w:rsid w:val="251F0377"/>
    <w:rsid w:val="25D43FBF"/>
    <w:rsid w:val="26421238"/>
    <w:rsid w:val="26AA16D4"/>
    <w:rsid w:val="284C2F0D"/>
    <w:rsid w:val="298A299F"/>
    <w:rsid w:val="2AFE2FC6"/>
    <w:rsid w:val="2BA43E5A"/>
    <w:rsid w:val="2BB214F4"/>
    <w:rsid w:val="2C7A667D"/>
    <w:rsid w:val="2D470361"/>
    <w:rsid w:val="2E55261B"/>
    <w:rsid w:val="2EFA6AB4"/>
    <w:rsid w:val="30147175"/>
    <w:rsid w:val="33AB73C4"/>
    <w:rsid w:val="343036EF"/>
    <w:rsid w:val="34A02F04"/>
    <w:rsid w:val="352B345B"/>
    <w:rsid w:val="367D4F11"/>
    <w:rsid w:val="36E305D2"/>
    <w:rsid w:val="38A941D5"/>
    <w:rsid w:val="398C5EC8"/>
    <w:rsid w:val="3A965B44"/>
    <w:rsid w:val="3B4F3BCB"/>
    <w:rsid w:val="3D655CAD"/>
    <w:rsid w:val="3DCF123E"/>
    <w:rsid w:val="3E0E05D3"/>
    <w:rsid w:val="3F887809"/>
    <w:rsid w:val="3FFE146B"/>
    <w:rsid w:val="41135743"/>
    <w:rsid w:val="415743D4"/>
    <w:rsid w:val="41971DBD"/>
    <w:rsid w:val="433A73B2"/>
    <w:rsid w:val="43EE5E05"/>
    <w:rsid w:val="455A3219"/>
    <w:rsid w:val="457173F8"/>
    <w:rsid w:val="460E2D76"/>
    <w:rsid w:val="46685C9B"/>
    <w:rsid w:val="47FA24B7"/>
    <w:rsid w:val="480C0CC5"/>
    <w:rsid w:val="484D52CB"/>
    <w:rsid w:val="49C017DB"/>
    <w:rsid w:val="49FC553F"/>
    <w:rsid w:val="4B5317D9"/>
    <w:rsid w:val="4BBE2380"/>
    <w:rsid w:val="4C664FE6"/>
    <w:rsid w:val="4C7731BB"/>
    <w:rsid w:val="4DFE77F1"/>
    <w:rsid w:val="4F640350"/>
    <w:rsid w:val="4FB309FC"/>
    <w:rsid w:val="507D710A"/>
    <w:rsid w:val="50844495"/>
    <w:rsid w:val="508670F0"/>
    <w:rsid w:val="50A873B9"/>
    <w:rsid w:val="523E6CF6"/>
    <w:rsid w:val="52C84CF5"/>
    <w:rsid w:val="54361EC0"/>
    <w:rsid w:val="54E82BB7"/>
    <w:rsid w:val="55B43D13"/>
    <w:rsid w:val="562C3FA0"/>
    <w:rsid w:val="56864135"/>
    <w:rsid w:val="57AB547E"/>
    <w:rsid w:val="585573E7"/>
    <w:rsid w:val="5A334C18"/>
    <w:rsid w:val="5C4B79F0"/>
    <w:rsid w:val="5C6164F3"/>
    <w:rsid w:val="5CA77046"/>
    <w:rsid w:val="5D797EA8"/>
    <w:rsid w:val="5D910FD6"/>
    <w:rsid w:val="5E5E1DBE"/>
    <w:rsid w:val="5EEF047E"/>
    <w:rsid w:val="5F947346"/>
    <w:rsid w:val="606A2F3D"/>
    <w:rsid w:val="60960133"/>
    <w:rsid w:val="61A16A2A"/>
    <w:rsid w:val="63EF6D4C"/>
    <w:rsid w:val="642A564C"/>
    <w:rsid w:val="64EF6C74"/>
    <w:rsid w:val="65EF576E"/>
    <w:rsid w:val="665706E1"/>
    <w:rsid w:val="668E7E56"/>
    <w:rsid w:val="67234BE8"/>
    <w:rsid w:val="67A74213"/>
    <w:rsid w:val="67C37F93"/>
    <w:rsid w:val="685006D5"/>
    <w:rsid w:val="68B72934"/>
    <w:rsid w:val="69A9737D"/>
    <w:rsid w:val="69B51CF9"/>
    <w:rsid w:val="6A5B6461"/>
    <w:rsid w:val="6AB458F1"/>
    <w:rsid w:val="6B9E401E"/>
    <w:rsid w:val="6D0963FD"/>
    <w:rsid w:val="6EEA7C07"/>
    <w:rsid w:val="6F04150C"/>
    <w:rsid w:val="711C77D0"/>
    <w:rsid w:val="71920150"/>
    <w:rsid w:val="728936B0"/>
    <w:rsid w:val="72E87BE6"/>
    <w:rsid w:val="73051406"/>
    <w:rsid w:val="73F71B2F"/>
    <w:rsid w:val="742155ED"/>
    <w:rsid w:val="7524075C"/>
    <w:rsid w:val="768B34CE"/>
    <w:rsid w:val="76C64F98"/>
    <w:rsid w:val="77A87F0B"/>
    <w:rsid w:val="786D77D2"/>
    <w:rsid w:val="78CF3D99"/>
    <w:rsid w:val="79792DFF"/>
    <w:rsid w:val="7AB427B8"/>
    <w:rsid w:val="7BFE7179"/>
    <w:rsid w:val="7CCA0EA6"/>
    <w:rsid w:val="7D0D18FB"/>
    <w:rsid w:val="7D316667"/>
    <w:rsid w:val="7D5C1052"/>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lang w:val="zh-CN"/>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firstLine="420" w:firstLineChars="200"/>
    </w:pPr>
  </w:style>
  <w:style w:type="paragraph" w:customStyle="1" w:styleId="10">
    <w:name w:val="p15"/>
    <w:basedOn w:val="1"/>
    <w:qFormat/>
    <w:uiPriority w:val="0"/>
    <w:pPr>
      <w:widowControl/>
      <w:ind w:firstLine="420"/>
    </w:pPr>
    <w:rPr>
      <w:kern w:val="0"/>
      <w:szCs w:val="21"/>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 w:type="paragraph" w:customStyle="1" w:styleId="13">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556</Words>
  <Characters>3174</Characters>
  <Lines>26</Lines>
  <Paragraphs>7</Paragraphs>
  <TotalTime>12</TotalTime>
  <ScaleCrop>false</ScaleCrop>
  <LinksUpToDate>false</LinksUpToDate>
  <CharactersWithSpaces>3723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yy</cp:lastModifiedBy>
  <dcterms:modified xsi:type="dcterms:W3CDTF">2024-06-04T06:47:56Z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