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财务科窗口收费员工作服采购项目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财务科窗口收费员工作服采购项目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为了更好展现医院门诊住院收费处标准化服务示范窗口形象，我院需为结算员统一采购2套夏季工作服使用。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工作服材质要求及报价表</w:t>
      </w:r>
    </w:p>
    <w:tbl>
      <w:tblPr>
        <w:tblStyle w:val="2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279"/>
        <w:gridCol w:w="575"/>
        <w:gridCol w:w="3220"/>
        <w:gridCol w:w="2061"/>
        <w:gridCol w:w="858"/>
        <w:gridCol w:w="859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服装类别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衬衫（长袖夏季)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女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V领长袖衬衫，5粒扣，方袖口，前后公主线分割。小圆摆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男：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中八领长袖衬衫，明门襟，6粒扣，尖底袋，6角克夫，平摆。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成分：60%棉40%涤；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纱织：80/2*80/2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粉红色；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西裤（夏季)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1、女：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前单褶后后双省，两侧斜插袋，直腰西裤。普通瘦腿裤，内置伸缩腰，挺缝工艺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2、男 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前单褶后后双省，后双开线袋，两侧斜插袋，直腰西裤。普通瘦腿裤，内置伸缩腰，挺缝工艺，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成分：60%棉40%涤；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蓝色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合计金额（元）：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200"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1.报价包含：人工费、材料费、装卸车费、运输费、管理费、保险、维护、利润、税金等为完成本项目所需的所有费用，在实施期间不因市场因素而变动。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关于售后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交货后如出现个别型号不适合的情况，供应商应无条件给予更换。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乙方需根据甲方指定地点到现场为订做人员量身定制。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结算方式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八、供应商遴选方式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遴选1家服务商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财务科经办人：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财务科主任：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1271123"/>
    <w:multiLevelType w:val="singleLevel"/>
    <w:tmpl w:val="61271123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9C378E2"/>
    <w:multiLevelType w:val="singleLevel"/>
    <w:tmpl w:val="69C378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57F4F"/>
    <w:rsid w:val="0CD56D95"/>
    <w:rsid w:val="0D895DB9"/>
    <w:rsid w:val="1047329D"/>
    <w:rsid w:val="357C2F8E"/>
    <w:rsid w:val="45083D2A"/>
    <w:rsid w:val="643D7188"/>
    <w:rsid w:val="65BE0FBA"/>
    <w:rsid w:val="7E1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2024-04-09T11:15:00Z</dcterms:created>
  <dc:creator>Administrator</dc:creator>
  <cp:lastModifiedBy> 哔哩哔哩小蘑菇</cp:lastModifiedBy>
  <cp:lastPrinted>2024-05-20T07:30:00Z</cp:lastPrinted>
  <dcterms:modified xsi:type="dcterms:W3CDTF">2024-05-23T07:37:16Z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