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40" w:lineRule="exact"/>
        <w:rPr>
          <w:rFonts w:hint="eastAsia" w:ascii="宋体" w:hAnsi="宋体" w:eastAsia="宋体" w:cs="宋体"/>
          <w:sz w:val="32"/>
          <w:szCs w:val="32"/>
        </w:rPr>
      </w:pPr>
      <w:r>
        <w:rPr>
          <w:rFonts w:hint="eastAsia" w:ascii="宋体" w:hAnsi="宋体" w:eastAsia="宋体" w:cs="宋体"/>
          <w:sz w:val="32"/>
          <w:szCs w:val="32"/>
        </w:rPr>
        <w:t>柳州市工人医院</w:t>
      </w:r>
      <w:r>
        <w:rPr>
          <w:rFonts w:hint="eastAsia" w:ascii="宋体" w:hAnsi="宋体" w:eastAsia="宋体" w:cs="宋体"/>
          <w:sz w:val="32"/>
          <w:szCs w:val="32"/>
          <w:lang w:eastAsia="zh-CN"/>
        </w:rPr>
        <w:t>总院二次供水备用水箱控制柜采购及安装</w:t>
      </w:r>
      <w:r>
        <w:rPr>
          <w:rFonts w:hint="eastAsia" w:ascii="宋体" w:hAnsi="宋体" w:eastAsia="宋体" w:cs="宋体"/>
          <w:sz w:val="32"/>
          <w:szCs w:val="32"/>
        </w:rPr>
        <w:t>需求</w:t>
      </w:r>
    </w:p>
    <w:p>
      <w:pPr>
        <w:keepNext w:val="0"/>
        <w:keepLines w:val="0"/>
        <w:pageBreakBefore w:val="0"/>
        <w:kinsoku/>
        <w:wordWrap/>
        <w:overflowPunct/>
        <w:topLinePunct w:val="0"/>
        <w:autoSpaceDE/>
        <w:autoSpaceDN/>
        <w:bidi w:val="0"/>
        <w:spacing w:line="440" w:lineRule="exact"/>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一、项目名称</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柳州市工人医院</w:t>
      </w:r>
      <w:r>
        <w:rPr>
          <w:rFonts w:hint="eastAsia" w:ascii="宋体" w:hAnsi="宋体" w:eastAsia="宋体" w:cs="宋体"/>
          <w:b w:val="0"/>
          <w:bCs w:val="0"/>
          <w:sz w:val="24"/>
          <w:szCs w:val="24"/>
          <w:lang w:eastAsia="zh-CN"/>
        </w:rPr>
        <w:t>总院二次供水备用水箱控制柜采购及安装及安装</w:t>
      </w:r>
      <w:r>
        <w:rPr>
          <w:rFonts w:hint="eastAsia" w:ascii="宋体" w:hAnsi="宋体" w:eastAsia="宋体" w:cs="宋体"/>
          <w:b w:val="0"/>
          <w:bCs w:val="0"/>
          <w:sz w:val="24"/>
          <w:szCs w:val="24"/>
        </w:rPr>
        <w:t>。</w:t>
      </w:r>
    </w:p>
    <w:p>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二、项目概况</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项目为柳州市工人医院</w:t>
      </w:r>
      <w:r>
        <w:rPr>
          <w:rFonts w:hint="eastAsia" w:ascii="宋体" w:hAnsi="宋体" w:eastAsia="宋体" w:cs="宋体"/>
          <w:b w:val="0"/>
          <w:bCs w:val="0"/>
          <w:sz w:val="24"/>
          <w:szCs w:val="24"/>
          <w:lang w:eastAsia="zh-CN"/>
        </w:rPr>
        <w:t>总院二次供水设备备用控制柜采购及安装</w:t>
      </w:r>
    </w:p>
    <w:p>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三、投标人/供应商资格条件</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1、投标人需为国内注册（指按国家有关规定要求注册的），具备法人资格；</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2、参与单位三年内在经营活动中没有重大违法记录和不良信用记录；</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3、参与单位有效的“营业执照”副本复印件；</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4、由国家质量技术监督局颁发的中华人民共和国组织机构代码证复印件（三证合一除外）和法定代表人身份证明复印件； </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5、参与单位有效的“税务登记证”副本复印件（国税或地税，三证合一除外）。</w:t>
      </w:r>
    </w:p>
    <w:p>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eastAsia="宋体" w:cs="宋体"/>
          <w:sz w:val="24"/>
          <w:szCs w:val="24"/>
        </w:rPr>
        <w:t>四、项目内容</w:t>
      </w:r>
    </w:p>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主要项目内容清单：</w:t>
      </w:r>
    </w:p>
    <w:p>
      <w:pPr>
        <w:keepNext w:val="0"/>
        <w:keepLines w:val="0"/>
        <w:pageBreakBefore w:val="0"/>
        <w:kinsoku/>
        <w:wordWrap/>
        <w:overflowPunct/>
        <w:topLinePunct w:val="0"/>
        <w:autoSpaceDE/>
        <w:autoSpaceDN/>
        <w:bidi w:val="0"/>
        <w:spacing w:line="440" w:lineRule="exact"/>
        <w:ind w:firstLine="482"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标注“▲”的条款或要求系指实质性条款或实质性要求，必须满足，如存在负偏离将导致投标被否决</w:t>
      </w:r>
      <w:r>
        <w:rPr>
          <w:rFonts w:hint="eastAsia" w:ascii="宋体" w:hAnsi="宋体" w:eastAsia="宋体" w:cs="宋体"/>
          <w:sz w:val="24"/>
          <w:szCs w:val="24"/>
          <w:lang w:eastAsia="zh-CN"/>
        </w:rPr>
        <w:t>。</w:t>
      </w:r>
    </w:p>
    <w:tbl>
      <w:tblPr>
        <w:tblStyle w:val="10"/>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57"/>
        <w:gridCol w:w="4522"/>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857" w:type="dxa"/>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4522" w:type="dxa"/>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规格型号</w:t>
            </w:r>
          </w:p>
        </w:tc>
        <w:tc>
          <w:tcPr>
            <w:tcW w:w="993" w:type="dxa"/>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1134" w:type="dxa"/>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1</w:t>
            </w:r>
          </w:p>
        </w:tc>
        <w:tc>
          <w:tcPr>
            <w:tcW w:w="1857"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全自动控制柜（中区）</w:t>
            </w:r>
          </w:p>
        </w:tc>
        <w:tc>
          <w:tcPr>
            <w:tcW w:w="4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rPr>
              <w:tab/>
            </w:r>
            <w:r>
              <w:rPr>
                <w:rFonts w:hint="eastAsia" w:ascii="宋体" w:hAnsi="宋体" w:eastAsia="宋体" w:cs="宋体"/>
                <w:b w:val="0"/>
                <w:bCs w:val="0"/>
                <w:sz w:val="24"/>
                <w:szCs w:val="24"/>
              </w:rPr>
              <w:t>▲变频器1台，5.5kW，一控三，品牌参考：ABB、西门子、丹佛斯。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rPr>
              <w:tab/>
            </w:r>
            <w:r>
              <w:rPr>
                <w:rFonts w:hint="eastAsia" w:ascii="宋体" w:hAnsi="宋体" w:eastAsia="宋体" w:cs="宋体"/>
                <w:b w:val="0"/>
                <w:bCs w:val="0"/>
                <w:sz w:val="24"/>
                <w:szCs w:val="24"/>
              </w:rPr>
              <w:t>▲PLC控制器，1个，品牌参考：西门子、ABB、施耐德。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rPr>
              <w:tab/>
            </w:r>
            <w:r>
              <w:rPr>
                <w:rFonts w:hint="eastAsia" w:ascii="宋体" w:hAnsi="宋体" w:eastAsia="宋体" w:cs="宋体"/>
                <w:b w:val="0"/>
                <w:bCs w:val="0"/>
                <w:sz w:val="24"/>
                <w:szCs w:val="24"/>
              </w:rPr>
              <w:t>▲主要低压元器件为微型断路器、交流接触器、热过载继电器、触点模块、选择开关、蜂鸣器、按钮。品牌参考：施耐德、ABB、欧姆龙。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rPr>
              <w:tab/>
            </w:r>
            <w:r>
              <w:rPr>
                <w:rFonts w:hint="eastAsia" w:ascii="宋体" w:hAnsi="宋体" w:eastAsia="宋体" w:cs="宋体"/>
                <w:b w:val="0"/>
                <w:bCs w:val="0"/>
                <w:sz w:val="24"/>
                <w:szCs w:val="24"/>
              </w:rPr>
              <w:t>▲全彩触摸屏：10.1”TFT宽屏全彩显示，CPU：ARM RISC 32Bit 792MHz，存储器：128MB NAND 闪存+128MB DDR3，动态显示设备运行工况，修改设备参数、自动记录和查询系统运行参数、故障记录等数据，并支持U盘导入计算机或在线打印等。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rPr>
              <w:tab/>
            </w:r>
            <w:r>
              <w:rPr>
                <w:rFonts w:hint="eastAsia" w:ascii="宋体" w:hAnsi="宋体" w:eastAsia="宋体" w:cs="宋体"/>
                <w:b w:val="0"/>
                <w:bCs w:val="0"/>
                <w:sz w:val="24"/>
                <w:szCs w:val="24"/>
              </w:rPr>
              <w:t>▲柜体，有漏电保护，配置浪涌保护器（防雷）。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 ▲符合标准CJT 352-2010。</w:t>
            </w:r>
          </w:p>
          <w:p>
            <w:pPr>
              <w:pStyle w:val="2"/>
              <w:keepNext w:val="0"/>
              <w:keepLines w:val="0"/>
              <w:pageBreakBefore w:val="0"/>
              <w:suppressLineNumbers w:val="0"/>
              <w:kinsoku/>
              <w:wordWrap/>
              <w:overflowPunct/>
              <w:topLinePunct w:val="0"/>
              <w:autoSpaceDE/>
              <w:autoSpaceDN/>
              <w:bidi w:val="0"/>
              <w:spacing w:before="0"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b w:val="0"/>
                <w:bCs w:val="0"/>
                <w:sz w:val="24"/>
                <w:szCs w:val="24"/>
              </w:rPr>
              <w:t>▲</w:t>
            </w:r>
            <w:r>
              <w:rPr>
                <w:rFonts w:hint="eastAsia" w:ascii="宋体" w:hAnsi="宋体" w:eastAsia="宋体" w:cs="宋体"/>
                <w:b w:val="0"/>
                <w:bCs w:val="0"/>
                <w:kern w:val="2"/>
                <w:sz w:val="24"/>
                <w:szCs w:val="24"/>
                <w:lang w:val="en-US" w:eastAsia="zh-CN" w:bidi="ar-SA"/>
              </w:rPr>
              <w:t>信息数据采集远程测控终端、GPRS模块（含天线）、中国移动SIM数据卡（含2年服务费）</w:t>
            </w:r>
          </w:p>
        </w:tc>
        <w:tc>
          <w:tcPr>
            <w:tcW w:w="99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台</w:t>
            </w:r>
          </w:p>
        </w:tc>
        <w:tc>
          <w:tcPr>
            <w:tcW w:w="11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2</w:t>
            </w:r>
          </w:p>
        </w:tc>
        <w:tc>
          <w:tcPr>
            <w:tcW w:w="1857"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全自动控制柜（高区）</w:t>
            </w:r>
          </w:p>
        </w:tc>
        <w:tc>
          <w:tcPr>
            <w:tcW w:w="452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rPr>
              <w:tab/>
            </w:r>
            <w:r>
              <w:rPr>
                <w:rFonts w:hint="eastAsia" w:ascii="宋体" w:hAnsi="宋体" w:eastAsia="宋体" w:cs="宋体"/>
                <w:b w:val="0"/>
                <w:bCs w:val="0"/>
                <w:sz w:val="24"/>
                <w:szCs w:val="24"/>
              </w:rPr>
              <w:t>▲变频器1台，11kW，一控三，品牌参考：ABB、西门子、丹佛斯。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rPr>
              <w:tab/>
            </w:r>
            <w:r>
              <w:rPr>
                <w:rFonts w:hint="eastAsia" w:ascii="宋体" w:hAnsi="宋体" w:eastAsia="宋体" w:cs="宋体"/>
                <w:b w:val="0"/>
                <w:bCs w:val="0"/>
                <w:sz w:val="24"/>
                <w:szCs w:val="24"/>
              </w:rPr>
              <w:t>▲PLC控制器，1个，品牌参考：西门子、ABB、施耐德。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rPr>
              <w:tab/>
            </w:r>
            <w:r>
              <w:rPr>
                <w:rFonts w:hint="eastAsia" w:ascii="宋体" w:hAnsi="宋体" w:eastAsia="宋体" w:cs="宋体"/>
                <w:b w:val="0"/>
                <w:bCs w:val="0"/>
                <w:sz w:val="24"/>
                <w:szCs w:val="24"/>
              </w:rPr>
              <w:t>▲主要低压元器件为微型断路器、交流接触器、热过载继电器、触点模块、选择开关、蜂鸣器、按钮。品牌参考：施耐德、ABB、欧姆龙。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rPr>
              <w:tab/>
            </w:r>
            <w:r>
              <w:rPr>
                <w:rFonts w:hint="eastAsia" w:ascii="宋体" w:hAnsi="宋体" w:eastAsia="宋体" w:cs="宋体"/>
                <w:b w:val="0"/>
                <w:bCs w:val="0"/>
                <w:sz w:val="24"/>
                <w:szCs w:val="24"/>
              </w:rPr>
              <w:t>▲全彩触摸屏：10.1”TFT宽屏全彩显示，CPU：ARM RISC 32Bit 792MHz，存储器：128MB NAND 闪存+128MB DDR3，动态显示设备运行工况，修改设备参数、自动记录和查询系统运行参数、故障记录等数据，并支持U盘导入计算机或在线打印等。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rPr>
              <w:tab/>
            </w:r>
            <w:r>
              <w:rPr>
                <w:rFonts w:hint="eastAsia" w:ascii="宋体" w:hAnsi="宋体" w:eastAsia="宋体" w:cs="宋体"/>
                <w:b w:val="0"/>
                <w:bCs w:val="0"/>
                <w:sz w:val="24"/>
                <w:szCs w:val="24"/>
              </w:rPr>
              <w:t>▲柜体，有漏电保护，配置浪涌保护器（防雷）。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 ▲符合标准CJT 352-2010。</w:t>
            </w:r>
          </w:p>
          <w:p>
            <w:pPr>
              <w:pStyle w:val="2"/>
              <w:keepNext w:val="0"/>
              <w:keepLines w:val="0"/>
              <w:pageBreakBefore w:val="0"/>
              <w:suppressLineNumbers w:val="0"/>
              <w:kinsoku/>
              <w:wordWrap/>
              <w:overflowPunct/>
              <w:topLinePunct w:val="0"/>
              <w:autoSpaceDE/>
              <w:autoSpaceDN/>
              <w:bidi w:val="0"/>
              <w:spacing w:before="0"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7.</w:t>
            </w:r>
            <w:r>
              <w:rPr>
                <w:rFonts w:hint="eastAsia" w:ascii="宋体" w:hAnsi="宋体" w:eastAsia="宋体" w:cs="宋体"/>
                <w:b w:val="0"/>
                <w:bCs w:val="0"/>
                <w:sz w:val="24"/>
                <w:szCs w:val="24"/>
              </w:rPr>
              <w:t>▲</w:t>
            </w:r>
            <w:r>
              <w:rPr>
                <w:rFonts w:hint="eastAsia" w:ascii="宋体" w:hAnsi="宋体" w:eastAsia="宋体" w:cs="宋体"/>
                <w:b w:val="0"/>
                <w:bCs w:val="0"/>
                <w:kern w:val="2"/>
                <w:sz w:val="24"/>
                <w:szCs w:val="24"/>
                <w:lang w:val="en-US" w:eastAsia="zh-CN" w:bidi="ar-SA"/>
              </w:rPr>
              <w:t>信息数据采集远程测控终端、GPRS模块（含天线）、中国移动SIM数据卡（含2年服务费）</w:t>
            </w:r>
          </w:p>
        </w:tc>
        <w:tc>
          <w:tcPr>
            <w:tcW w:w="99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台</w:t>
            </w:r>
          </w:p>
        </w:tc>
        <w:tc>
          <w:tcPr>
            <w:tcW w:w="11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57"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计算机远程管理中控系统</w:t>
            </w:r>
          </w:p>
        </w:tc>
        <w:tc>
          <w:tcPr>
            <w:tcW w:w="4522" w:type="dxa"/>
          </w:tcPr>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440" w:lineRule="exact"/>
              <w:ind w:left="425" w:leftChars="0" w:right="0" w:rightChars="0" w:hanging="425" w:firstLineChars="0"/>
              <w:jc w:val="left"/>
              <w:textAlignment w:val="center"/>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val="0"/>
                <w:bCs w:val="0"/>
                <w:sz w:val="24"/>
                <w:szCs w:val="24"/>
                <w:lang w:val="en-US" w:eastAsia="zh-CN"/>
              </w:rPr>
              <w:t>远程监测计算机管理系统（含编程、画面开发技术服务）</w:t>
            </w:r>
            <w:r>
              <w:rPr>
                <w:rFonts w:hint="eastAsia" w:ascii="宋体" w:hAnsi="宋体" w:eastAsia="宋体" w:cs="宋体"/>
                <w:b w:val="0"/>
                <w:bCs/>
                <w:i w:val="0"/>
                <w:color w:val="000000"/>
                <w:kern w:val="0"/>
                <w:sz w:val="24"/>
                <w:szCs w:val="24"/>
                <w:u w:val="none"/>
                <w:lang w:val="en-US" w:eastAsia="zh-CN" w:bidi="ar"/>
              </w:rPr>
              <w:t>SCADA远程管理系统：通过计算机实时监测水泵设备运行工况：泵组的工频、变频运行状态、电源、电流、频率、设备出口压力、设备故障自动远程预警、报警等功能、实现数据自动统计、报表，科学调度管理；</w:t>
            </w:r>
          </w:p>
          <w:p>
            <w:pPr>
              <w:pStyle w:val="2"/>
              <w:keepNext w:val="0"/>
              <w:keepLines w:val="0"/>
              <w:pageBreakBefore w:val="0"/>
              <w:numPr>
                <w:ilvl w:val="0"/>
                <w:numId w:val="2"/>
              </w:numPr>
              <w:suppressLineNumbers w:val="0"/>
              <w:kinsoku/>
              <w:wordWrap/>
              <w:overflowPunct/>
              <w:topLinePunct w:val="0"/>
              <w:autoSpaceDE/>
              <w:autoSpaceDN/>
              <w:bidi w:val="0"/>
              <w:spacing w:before="0" w:beforeAutospacing="0" w:afterAutospacing="0" w:line="440" w:lineRule="exact"/>
              <w:ind w:left="425" w:leftChars="0" w:right="0" w:rightChars="0" w:hanging="425" w:firstLineChars="0"/>
              <w:jc w:val="left"/>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远程管理计算机1台；</w:t>
            </w:r>
          </w:p>
          <w:p>
            <w:pPr>
              <w:pStyle w:val="2"/>
              <w:keepNext w:val="0"/>
              <w:keepLines w:val="0"/>
              <w:pageBreakBefore w:val="0"/>
              <w:numPr>
                <w:ilvl w:val="0"/>
                <w:numId w:val="2"/>
              </w:numPr>
              <w:suppressLineNumbers w:val="0"/>
              <w:kinsoku/>
              <w:wordWrap/>
              <w:overflowPunct/>
              <w:topLinePunct w:val="0"/>
              <w:autoSpaceDE/>
              <w:autoSpaceDN/>
              <w:bidi w:val="0"/>
              <w:spacing w:before="0" w:beforeAutospacing="0" w:afterAutospacing="0" w:line="440" w:lineRule="exact"/>
              <w:ind w:left="425" w:leftChars="0" w:right="0" w:rightChars="0" w:hanging="425" w:firstLineChars="0"/>
              <w:jc w:val="left"/>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打印机1台（A4报表打印机）。</w:t>
            </w:r>
          </w:p>
        </w:tc>
        <w:tc>
          <w:tcPr>
            <w:tcW w:w="99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13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pPr>
        <w:keepNext w:val="0"/>
        <w:keepLines w:val="0"/>
        <w:pageBreakBefore w:val="0"/>
        <w:kinsoku/>
        <w:wordWrap/>
        <w:overflowPunct/>
        <w:topLinePunct w:val="0"/>
        <w:autoSpaceDE/>
        <w:autoSpaceDN/>
        <w:bidi w:val="0"/>
        <w:spacing w:line="44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注：以上内容包含运输、拆除、搬运、安装人工和所有税费等所有费用</w:t>
      </w:r>
      <w:r>
        <w:rPr>
          <w:rFonts w:hint="eastAsia" w:ascii="宋体" w:hAnsi="宋体" w:eastAsia="宋体" w:cs="宋体"/>
          <w:b w:val="0"/>
          <w:bCs w:val="0"/>
          <w:sz w:val="24"/>
          <w:szCs w:val="24"/>
          <w:lang w:val="en-US" w:eastAsia="zh-CN"/>
        </w:rPr>
        <w:t>,新安装的控制柜必须兼容原系统设备</w:t>
      </w:r>
      <w:r>
        <w:rPr>
          <w:rFonts w:hint="eastAsia" w:ascii="宋体" w:hAnsi="宋体" w:eastAsia="宋体" w:cs="宋体"/>
          <w:b w:val="0"/>
          <w:bCs w:val="0"/>
          <w:sz w:val="24"/>
          <w:szCs w:val="24"/>
        </w:rPr>
        <w:t>。</w:t>
      </w:r>
    </w:p>
    <w:p>
      <w:pPr>
        <w:pStyle w:val="18"/>
        <w:keepNext w:val="0"/>
        <w:keepLines w:val="0"/>
        <w:pageBreakBefore w:val="0"/>
        <w:kinsoku/>
        <w:wordWrap/>
        <w:overflowPunct/>
        <w:topLinePunct w:val="0"/>
        <w:autoSpaceDE/>
        <w:autoSpaceDN/>
        <w:bidi w:val="0"/>
        <w:spacing w:line="440" w:lineRule="exact"/>
        <w:rPr>
          <w:rFonts w:hint="eastAsia" w:ascii="宋体" w:hAnsi="宋体" w:eastAsia="宋体" w:cs="宋体"/>
          <w:sz w:val="24"/>
          <w:szCs w:val="24"/>
        </w:rPr>
      </w:pPr>
      <w:r>
        <w:rPr>
          <w:rFonts w:hint="eastAsia" w:ascii="宋体" w:hAnsi="宋体" w:eastAsia="宋体" w:cs="宋体"/>
          <w:sz w:val="24"/>
          <w:szCs w:val="24"/>
        </w:rPr>
        <w:t>设备、资质要求</w:t>
      </w:r>
    </w:p>
    <w:p>
      <w:pPr>
        <w:keepNext w:val="0"/>
        <w:keepLines w:val="0"/>
        <w:pageBreakBefore w:val="0"/>
        <w:kinsoku/>
        <w:wordWrap/>
        <w:overflowPunct/>
        <w:topLinePunct w:val="0"/>
        <w:autoSpaceDE/>
        <w:autoSpaceDN/>
        <w:bidi w:val="0"/>
        <w:spacing w:line="440" w:lineRule="exact"/>
        <w:ind w:firstLine="482" w:firstLineChars="200"/>
        <w:jc w:val="left"/>
        <w:rPr>
          <w:rFonts w:hint="eastAsia" w:ascii="宋体" w:hAnsi="宋体" w:eastAsia="宋体" w:cs="宋体"/>
          <w:sz w:val="24"/>
          <w:szCs w:val="24"/>
        </w:rPr>
      </w:pPr>
      <w:bookmarkStart w:id="0" w:name="_Hlk164156457"/>
      <w:r>
        <w:rPr>
          <w:rFonts w:hint="eastAsia" w:ascii="宋体" w:hAnsi="宋体" w:eastAsia="宋体" w:cs="宋体"/>
          <w:sz w:val="24"/>
          <w:szCs w:val="24"/>
        </w:rPr>
        <w:t>标注“</w:t>
      </w:r>
      <w:bookmarkStart w:id="1" w:name="_Hlk164153164"/>
      <w:r>
        <w:rPr>
          <w:rFonts w:hint="eastAsia" w:ascii="宋体" w:hAnsi="宋体" w:eastAsia="宋体" w:cs="宋体"/>
          <w:sz w:val="24"/>
          <w:szCs w:val="24"/>
        </w:rPr>
        <w:t>▲</w:t>
      </w:r>
      <w:bookmarkEnd w:id="1"/>
      <w:r>
        <w:rPr>
          <w:rFonts w:hint="eastAsia" w:ascii="宋体" w:hAnsi="宋体" w:eastAsia="宋体" w:cs="宋体"/>
          <w:sz w:val="24"/>
          <w:szCs w:val="24"/>
        </w:rPr>
        <w:t>”的条款或要求系指实质性条款或实质性要求，必须满足，如存在负偏离将导致投标被否决。</w:t>
      </w:r>
      <w:bookmarkEnd w:id="0"/>
    </w:p>
    <w:p>
      <w:pPr>
        <w:pStyle w:val="18"/>
        <w:keepNext w:val="0"/>
        <w:keepLines w:val="0"/>
        <w:pageBreakBefore w:val="0"/>
        <w:numPr>
          <w:ilvl w:val="0"/>
          <w:numId w:val="3"/>
        </w:numPr>
        <w:kinsoku/>
        <w:wordWrap/>
        <w:overflowPunct/>
        <w:topLinePunct w:val="0"/>
        <w:autoSpaceDE/>
        <w:autoSpaceDN/>
        <w:bidi w:val="0"/>
        <w:spacing w:line="440" w:lineRule="exact"/>
        <w:rPr>
          <w:rFonts w:hint="eastAsia" w:ascii="宋体" w:hAnsi="宋体" w:eastAsia="宋体" w:cs="宋体"/>
          <w:b/>
          <w:bCs/>
          <w:sz w:val="24"/>
          <w:szCs w:val="24"/>
        </w:rPr>
      </w:pPr>
      <w:r>
        <w:rPr>
          <w:rFonts w:hint="eastAsia" w:ascii="宋体" w:hAnsi="宋体" w:eastAsia="宋体" w:cs="宋体"/>
          <w:b/>
          <w:bCs/>
          <w:sz w:val="24"/>
          <w:szCs w:val="24"/>
        </w:rPr>
        <w:t>▲设备配置及功能要求：</w:t>
      </w:r>
    </w:p>
    <w:p>
      <w:pPr>
        <w:pStyle w:val="18"/>
        <w:keepNext w:val="0"/>
        <w:keepLines w:val="0"/>
        <w:pageBreakBefore w:val="0"/>
        <w:numPr>
          <w:ilvl w:val="0"/>
          <w:numId w:val="0"/>
        </w:numPr>
        <w:kinsoku/>
        <w:wordWrap/>
        <w:overflowPunct/>
        <w:topLinePunct w:val="0"/>
        <w:autoSpaceDE/>
        <w:autoSpaceDN/>
        <w:bidi w:val="0"/>
        <w:spacing w:line="440" w:lineRule="exact"/>
        <w:ind w:left="400"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集成配套：供水编写程序软件。</w:t>
      </w:r>
    </w:p>
    <w:p>
      <w:pPr>
        <w:pStyle w:val="18"/>
        <w:keepNext w:val="0"/>
        <w:keepLines w:val="0"/>
        <w:pageBreakBefore w:val="0"/>
        <w:numPr>
          <w:ilvl w:val="0"/>
          <w:numId w:val="0"/>
        </w:numPr>
        <w:kinsoku/>
        <w:wordWrap/>
        <w:overflowPunct/>
        <w:topLinePunct w:val="0"/>
        <w:autoSpaceDE/>
        <w:autoSpaceDN/>
        <w:bidi w:val="0"/>
        <w:spacing w:line="440" w:lineRule="exact"/>
        <w:ind w:left="400"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缺水停机保护：水箱内缺水系统报警并停机，恢复供水后报警自动解除，系统投入运行。</w:t>
      </w:r>
    </w:p>
    <w:p>
      <w:pPr>
        <w:pStyle w:val="18"/>
        <w:keepNext w:val="0"/>
        <w:keepLines w:val="0"/>
        <w:pageBreakBefore w:val="0"/>
        <w:numPr>
          <w:ilvl w:val="0"/>
          <w:numId w:val="0"/>
        </w:numPr>
        <w:kinsoku/>
        <w:wordWrap/>
        <w:overflowPunct/>
        <w:topLinePunct w:val="0"/>
        <w:autoSpaceDE/>
        <w:autoSpaceDN/>
        <w:bidi w:val="0"/>
        <w:spacing w:line="440" w:lineRule="exact"/>
        <w:ind w:left="400"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1.3</w:t>
      </w:r>
      <w:r>
        <w:rPr>
          <w:rFonts w:hint="eastAsia" w:ascii="宋体" w:hAnsi="宋体" w:eastAsia="宋体" w:cs="宋体"/>
          <w:b w:val="0"/>
          <w:bCs w:val="0"/>
          <w:sz w:val="24"/>
          <w:szCs w:val="24"/>
        </w:rPr>
        <w:t>管网超压保护：随时监测供水管网的压力，并根据供水管网预先设定超压保护压力条件控制泵组启停，确保供水管网不产生超压爆管。</w:t>
      </w:r>
    </w:p>
    <w:p>
      <w:pPr>
        <w:pStyle w:val="18"/>
        <w:keepNext w:val="0"/>
        <w:keepLines w:val="0"/>
        <w:pageBreakBefore w:val="0"/>
        <w:numPr>
          <w:ilvl w:val="0"/>
          <w:numId w:val="0"/>
        </w:numPr>
        <w:kinsoku/>
        <w:wordWrap/>
        <w:overflowPunct/>
        <w:topLinePunct w:val="0"/>
        <w:autoSpaceDE/>
        <w:autoSpaceDN/>
        <w:bidi w:val="0"/>
        <w:spacing w:line="440" w:lineRule="exact"/>
        <w:ind w:left="400"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1.4</w:t>
      </w:r>
      <w:r>
        <w:rPr>
          <w:rFonts w:hint="eastAsia" w:ascii="宋体" w:hAnsi="宋体" w:eastAsia="宋体" w:cs="宋体"/>
          <w:b w:val="0"/>
          <w:bCs w:val="0"/>
          <w:sz w:val="24"/>
          <w:szCs w:val="24"/>
        </w:rPr>
        <w:t>主泵休眠保压：在用户用水低峰期或夜间小流量用水时。系统处于停机保压状态，避免水泵频繁启动，进一步降低运行成本。</w:t>
      </w:r>
    </w:p>
    <w:p>
      <w:pPr>
        <w:pStyle w:val="18"/>
        <w:keepNext w:val="0"/>
        <w:keepLines w:val="0"/>
        <w:pageBreakBefore w:val="0"/>
        <w:numPr>
          <w:ilvl w:val="0"/>
          <w:numId w:val="0"/>
        </w:numPr>
        <w:kinsoku/>
        <w:wordWrap/>
        <w:overflowPunct/>
        <w:topLinePunct w:val="0"/>
        <w:autoSpaceDE/>
        <w:autoSpaceDN/>
        <w:bidi w:val="0"/>
        <w:spacing w:line="440" w:lineRule="exact"/>
        <w:ind w:left="400"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rPr>
        <w:t>控制方式：具有自动和手动两种控制方式。</w:t>
      </w:r>
    </w:p>
    <w:p>
      <w:pPr>
        <w:pStyle w:val="18"/>
        <w:keepNext w:val="0"/>
        <w:keepLines w:val="0"/>
        <w:pageBreakBefore w:val="0"/>
        <w:numPr>
          <w:ilvl w:val="0"/>
          <w:numId w:val="0"/>
        </w:numPr>
        <w:kinsoku/>
        <w:wordWrap/>
        <w:overflowPunct/>
        <w:topLinePunct w:val="0"/>
        <w:autoSpaceDE/>
        <w:autoSpaceDN/>
        <w:bidi w:val="0"/>
        <w:spacing w:line="440" w:lineRule="exact"/>
        <w:ind w:left="400"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1.6</w:t>
      </w:r>
      <w:r>
        <w:rPr>
          <w:rFonts w:hint="eastAsia" w:ascii="宋体" w:hAnsi="宋体" w:eastAsia="宋体" w:cs="宋体"/>
          <w:b w:val="0"/>
          <w:bCs w:val="0"/>
          <w:sz w:val="24"/>
          <w:szCs w:val="24"/>
        </w:rPr>
        <w:t>故障报警功能：具有过压、欠压、缺相 短路、过流等故障报警及瞬间停电后自动复位功能保护功能。设备在运行过程中出现超压和过载时自行停止并报警，超压消除后自动恢复。</w:t>
      </w:r>
    </w:p>
    <w:p>
      <w:pPr>
        <w:pStyle w:val="18"/>
        <w:keepNext w:val="0"/>
        <w:keepLines w:val="0"/>
        <w:pageBreakBefore w:val="0"/>
        <w:numPr>
          <w:ilvl w:val="0"/>
          <w:numId w:val="0"/>
        </w:numPr>
        <w:kinsoku/>
        <w:wordWrap/>
        <w:overflowPunct/>
        <w:topLinePunct w:val="0"/>
        <w:autoSpaceDE/>
        <w:autoSpaceDN/>
        <w:bidi w:val="0"/>
        <w:spacing w:line="440" w:lineRule="exact"/>
        <w:ind w:left="400"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1.7</w:t>
      </w:r>
      <w:r>
        <w:rPr>
          <w:rFonts w:hint="eastAsia" w:ascii="宋体" w:hAnsi="宋体" w:eastAsia="宋体" w:cs="宋体"/>
          <w:b w:val="0"/>
          <w:bCs w:val="0"/>
          <w:sz w:val="24"/>
          <w:szCs w:val="24"/>
        </w:rPr>
        <w:t>切换功能：对每台水泵的运行时间平均切换，延长设备的使用寿命，要求各泵应依次循环变频启动。</w:t>
      </w:r>
    </w:p>
    <w:p>
      <w:pPr>
        <w:pStyle w:val="18"/>
        <w:keepNext w:val="0"/>
        <w:keepLines w:val="0"/>
        <w:pageBreakBefore w:val="0"/>
        <w:numPr>
          <w:ilvl w:val="0"/>
          <w:numId w:val="0"/>
        </w:numPr>
        <w:kinsoku/>
        <w:wordWrap/>
        <w:overflowPunct/>
        <w:topLinePunct w:val="0"/>
        <w:autoSpaceDE/>
        <w:autoSpaceDN/>
        <w:bidi w:val="0"/>
        <w:spacing w:line="440" w:lineRule="exact"/>
        <w:ind w:left="400"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rPr>
        <w:t>供水压力设定：全数码显示轻触式压力设定操作面板，显示系统运行各种参数，且随时查询、修改供水压力及其它保护功能数据。</w:t>
      </w:r>
    </w:p>
    <w:p>
      <w:pPr>
        <w:pStyle w:val="18"/>
        <w:keepNext w:val="0"/>
        <w:keepLines w:val="0"/>
        <w:pageBreakBefore w:val="0"/>
        <w:numPr>
          <w:ilvl w:val="0"/>
          <w:numId w:val="3"/>
        </w:numPr>
        <w:kinsoku/>
        <w:wordWrap/>
        <w:overflowPunct/>
        <w:topLinePunct w:val="0"/>
        <w:autoSpaceDE/>
        <w:autoSpaceDN/>
        <w:bidi w:val="0"/>
        <w:spacing w:line="440" w:lineRule="exact"/>
        <w:rPr>
          <w:rFonts w:hint="eastAsia" w:ascii="宋体" w:hAnsi="宋体" w:eastAsia="宋体" w:cs="宋体"/>
          <w:b/>
          <w:bCs/>
          <w:sz w:val="24"/>
          <w:szCs w:val="24"/>
        </w:rPr>
      </w:pPr>
      <w:r>
        <w:rPr>
          <w:rFonts w:hint="eastAsia" w:ascii="宋体" w:hAnsi="宋体" w:eastAsia="宋体" w:cs="宋体"/>
          <w:b/>
          <w:bCs/>
          <w:sz w:val="24"/>
          <w:szCs w:val="24"/>
        </w:rPr>
        <w:t>资质要求：</w:t>
      </w:r>
      <w:bookmarkStart w:id="2" w:name="_Hlk164171963"/>
    </w:p>
    <w:p>
      <w:pPr>
        <w:pStyle w:val="18"/>
        <w:keepNext w:val="0"/>
        <w:keepLines w:val="0"/>
        <w:pageBreakBefore w:val="0"/>
        <w:numPr>
          <w:ilvl w:val="0"/>
          <w:numId w:val="0"/>
        </w:numPr>
        <w:kinsoku/>
        <w:wordWrap/>
        <w:overflowPunct/>
        <w:topLinePunct w:val="0"/>
        <w:autoSpaceDE/>
        <w:autoSpaceDN/>
        <w:bidi w:val="0"/>
        <w:spacing w:line="440" w:lineRule="exact"/>
        <w:ind w:left="400"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rPr>
        <w:t>投标人</w:t>
      </w:r>
      <w:bookmarkEnd w:id="2"/>
      <w:r>
        <w:rPr>
          <w:rFonts w:hint="eastAsia" w:ascii="宋体" w:hAnsi="宋体" w:eastAsia="宋体" w:cs="宋体"/>
          <w:b w:val="0"/>
          <w:bCs w:val="0"/>
          <w:sz w:val="24"/>
          <w:szCs w:val="24"/>
        </w:rPr>
        <w:t>或货物制造商</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CQC证书。</w:t>
      </w:r>
    </w:p>
    <w:p>
      <w:pPr>
        <w:pStyle w:val="18"/>
        <w:keepNext w:val="0"/>
        <w:keepLines w:val="0"/>
        <w:pageBreakBefore w:val="0"/>
        <w:numPr>
          <w:ilvl w:val="0"/>
          <w:numId w:val="0"/>
        </w:numPr>
        <w:kinsoku/>
        <w:wordWrap/>
        <w:overflowPunct/>
        <w:topLinePunct w:val="0"/>
        <w:autoSpaceDE/>
        <w:autoSpaceDN/>
        <w:bidi w:val="0"/>
        <w:spacing w:line="440" w:lineRule="exact"/>
        <w:ind w:left="400" w:left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rPr>
        <w:t>投标人提供2019年至2023年的在柳州地区涉及加压</w:t>
      </w:r>
      <w:bookmarkStart w:id="3" w:name="_Hlk164178698"/>
      <w:r>
        <w:rPr>
          <w:rFonts w:hint="eastAsia" w:ascii="宋体" w:hAnsi="宋体" w:eastAsia="宋体" w:cs="宋体"/>
          <w:b w:val="0"/>
          <w:bCs w:val="0"/>
          <w:sz w:val="24"/>
          <w:szCs w:val="24"/>
        </w:rPr>
        <w:t>供水设备（水泵）</w:t>
      </w:r>
      <w:bookmarkEnd w:id="3"/>
      <w:r>
        <w:rPr>
          <w:rFonts w:hint="eastAsia" w:ascii="宋体" w:hAnsi="宋体" w:eastAsia="宋体" w:cs="宋体"/>
          <w:b w:val="0"/>
          <w:bCs w:val="0"/>
          <w:sz w:val="24"/>
          <w:szCs w:val="24"/>
        </w:rPr>
        <w:t>之类或该设备控制柜的业绩证明，合同证明文件【可提供扫描件或复印件，提供合同封面、首页（非目录）及甲乙双方盖章页即可；此项必须为投标人自己持有的合同，否则</w:t>
      </w:r>
      <w:r>
        <w:rPr>
          <w:rFonts w:hint="eastAsia" w:ascii="宋体" w:hAnsi="宋体" w:eastAsia="宋体" w:cs="宋体"/>
          <w:b w:val="0"/>
          <w:bCs w:val="0"/>
          <w:sz w:val="24"/>
          <w:szCs w:val="24"/>
          <w:lang w:val="en-US" w:eastAsia="zh-CN"/>
        </w:rPr>
        <w:t>该材料无效</w:t>
      </w:r>
      <w:r>
        <w:rPr>
          <w:rFonts w:hint="eastAsia" w:ascii="宋体" w:hAnsi="宋体" w:eastAsia="宋体" w:cs="宋体"/>
          <w:b w:val="0"/>
          <w:bCs w:val="0"/>
          <w:sz w:val="24"/>
          <w:szCs w:val="24"/>
        </w:rPr>
        <w:t>】。</w:t>
      </w:r>
    </w:p>
    <w:p>
      <w:pPr>
        <w:pStyle w:val="18"/>
        <w:keepNext w:val="0"/>
        <w:keepLines w:val="0"/>
        <w:pageBreakBefore w:val="0"/>
        <w:numPr>
          <w:ilvl w:val="0"/>
          <w:numId w:val="0"/>
        </w:numPr>
        <w:kinsoku/>
        <w:wordWrap/>
        <w:overflowPunct/>
        <w:topLinePunct w:val="0"/>
        <w:autoSpaceDE/>
        <w:autoSpaceDN/>
        <w:bidi w:val="0"/>
        <w:spacing w:line="440" w:lineRule="exact"/>
        <w:ind w:leftChars="0"/>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招标要求</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1.应标方负责项目所有设备的采购及安装。</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2.要求所有设备材料</w:t>
      </w:r>
      <w:r>
        <w:rPr>
          <w:rFonts w:hint="eastAsia" w:ascii="宋体" w:hAnsi="宋体" w:eastAsia="宋体" w:cs="宋体"/>
          <w:b w:val="0"/>
          <w:bCs w:val="0"/>
          <w:sz w:val="24"/>
          <w:szCs w:val="24"/>
          <w:lang w:eastAsia="zh-CN"/>
        </w:rPr>
        <w:t>为全新正品，</w:t>
      </w:r>
      <w:r>
        <w:rPr>
          <w:rFonts w:hint="eastAsia" w:ascii="宋体" w:hAnsi="宋体" w:eastAsia="宋体" w:cs="宋体"/>
          <w:b w:val="0"/>
          <w:bCs w:val="0"/>
          <w:sz w:val="24"/>
          <w:szCs w:val="24"/>
        </w:rPr>
        <w:t xml:space="preserve">质量保证期至少2年。 </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3.主要设备到场后经院方验收合格后才能进行安装。</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4.应标单位负责项目清单内所有设备的运输以及搬运至院方指定安装位置。</w:t>
      </w:r>
    </w:p>
    <w:p>
      <w:pPr>
        <w:pStyle w:val="6"/>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5.安装过程中确保安全施工，不能影响医院业务正常运行。</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sz w:val="24"/>
          <w:szCs w:val="24"/>
        </w:rPr>
        <w:t>6.主要设备材料提供检验报告跟合格证</w:t>
      </w:r>
      <w:r>
        <w:rPr>
          <w:rFonts w:hint="eastAsia" w:ascii="宋体" w:hAnsi="宋体" w:eastAsia="宋体" w:cs="宋体"/>
          <w:b w:val="0"/>
          <w:bCs w:val="0"/>
          <w:color w:val="000000"/>
          <w:kern w:val="0"/>
          <w:sz w:val="24"/>
          <w:szCs w:val="24"/>
          <w:lang w:bidi="ar"/>
        </w:rPr>
        <w:t>。</w:t>
      </w:r>
    </w:p>
    <w:p>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七、合同工期及报价方式</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1.签订合同后，</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天内完成货物采购及安装；</w:t>
      </w:r>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2.报价为总价包干报价形式。 </w:t>
      </w:r>
      <w:bookmarkStart w:id="4" w:name="_GoBack"/>
      <w:bookmarkEnd w:id="4"/>
    </w:p>
    <w:p>
      <w:pPr>
        <w:keepNext w:val="0"/>
        <w:keepLines w:val="0"/>
        <w:pageBreakBefore w:val="0"/>
        <w:kinsoku/>
        <w:wordWrap/>
        <w:overflowPunct/>
        <w:topLinePunct w:val="0"/>
        <w:autoSpaceDE/>
        <w:autoSpaceDN/>
        <w:bidi w:val="0"/>
        <w:spacing w:line="44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3.项目双方签订合同，设备安装调试完毕并验收合格（以出具验收报告为准）交付甲方使用，乙方开具全额发票，甲方收到发票后按甲方财务流程向乙方支付合同总价百分之百（100%）的款项。</w:t>
      </w:r>
    </w:p>
    <w:p>
      <w:pPr>
        <w:keepNext w:val="0"/>
        <w:keepLines w:val="0"/>
        <w:pageBreakBefore w:val="0"/>
        <w:kinsoku/>
        <w:wordWrap/>
        <w:overflowPunct/>
        <w:topLinePunct w:val="0"/>
        <w:autoSpaceDE/>
        <w:autoSpaceDN/>
        <w:bidi w:val="0"/>
        <w:spacing w:line="440" w:lineRule="exact"/>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总务科</w:t>
      </w:r>
    </w:p>
    <w:p>
      <w:pPr>
        <w:keepNext w:val="0"/>
        <w:keepLines w:val="0"/>
        <w:pageBreakBefore w:val="0"/>
        <w:kinsoku/>
        <w:wordWrap/>
        <w:overflowPunct/>
        <w:topLinePunct w:val="0"/>
        <w:autoSpaceDE/>
        <w:autoSpaceDN/>
        <w:bidi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2024年4月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p>
    <w:p>
      <w:pPr>
        <w:pStyle w:val="6"/>
        <w:keepNext w:val="0"/>
        <w:keepLines w:val="0"/>
        <w:pageBreakBefore w:val="0"/>
        <w:kinsoku/>
        <w:wordWrap/>
        <w:overflowPunct/>
        <w:topLinePunct w:val="0"/>
        <w:autoSpaceDE/>
        <w:autoSpaceDN/>
        <w:bidi w:val="0"/>
        <w:spacing w:line="440" w:lineRule="exact"/>
        <w:rPr>
          <w:rFonts w:hint="eastAsia" w:ascii="宋体" w:hAnsi="宋体" w:eastAsia="宋体" w:cs="宋体"/>
          <w:sz w:val="24"/>
          <w:szCs w:val="24"/>
        </w:rPr>
      </w:pPr>
    </w:p>
    <w:sectPr>
      <w:pgSz w:w="11906" w:h="16838"/>
      <w:pgMar w:top="1417" w:right="1417" w:bottom="1417"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219CB"/>
    <w:multiLevelType w:val="singleLevel"/>
    <w:tmpl w:val="E8F219CB"/>
    <w:lvl w:ilvl="0" w:tentative="0">
      <w:start w:val="1"/>
      <w:numFmt w:val="decimal"/>
      <w:suff w:val="nothing"/>
      <w:lvlText w:val="%1．"/>
      <w:lvlJc w:val="left"/>
      <w:pPr>
        <w:ind w:left="0" w:firstLine="400"/>
      </w:pPr>
      <w:rPr>
        <w:rFonts w:hint="default"/>
      </w:rPr>
    </w:lvl>
  </w:abstractNum>
  <w:abstractNum w:abstractNumId="1">
    <w:nsid w:val="EB4C6A91"/>
    <w:multiLevelType w:val="singleLevel"/>
    <w:tmpl w:val="EB4C6A91"/>
    <w:lvl w:ilvl="0" w:tentative="0">
      <w:start w:val="5"/>
      <w:numFmt w:val="chineseCounting"/>
      <w:pStyle w:val="18"/>
      <w:suff w:val="nothing"/>
      <w:lvlText w:val="%1、"/>
      <w:lvlJc w:val="left"/>
      <w:rPr>
        <w:rFonts w:hint="eastAsia"/>
      </w:rPr>
    </w:lvl>
  </w:abstractNum>
  <w:abstractNum w:abstractNumId="2">
    <w:nsid w:val="365607BD"/>
    <w:multiLevelType w:val="singleLevel"/>
    <w:tmpl w:val="365607BD"/>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07079A"/>
    <w:rsid w:val="00137B82"/>
    <w:rsid w:val="001A1AF2"/>
    <w:rsid w:val="001F116A"/>
    <w:rsid w:val="00283FF8"/>
    <w:rsid w:val="00294195"/>
    <w:rsid w:val="002D507F"/>
    <w:rsid w:val="002F2F6D"/>
    <w:rsid w:val="00324BB5"/>
    <w:rsid w:val="00330238"/>
    <w:rsid w:val="00337345"/>
    <w:rsid w:val="00394E23"/>
    <w:rsid w:val="003A200C"/>
    <w:rsid w:val="003C7BDB"/>
    <w:rsid w:val="004336A0"/>
    <w:rsid w:val="004E3DD1"/>
    <w:rsid w:val="004E5DBA"/>
    <w:rsid w:val="004E6261"/>
    <w:rsid w:val="00531923"/>
    <w:rsid w:val="0055169C"/>
    <w:rsid w:val="005630D8"/>
    <w:rsid w:val="00595C52"/>
    <w:rsid w:val="0059719A"/>
    <w:rsid w:val="005B5408"/>
    <w:rsid w:val="00626A49"/>
    <w:rsid w:val="006B2077"/>
    <w:rsid w:val="006D4FB1"/>
    <w:rsid w:val="007228A8"/>
    <w:rsid w:val="00762378"/>
    <w:rsid w:val="007F715E"/>
    <w:rsid w:val="009300F8"/>
    <w:rsid w:val="0099580B"/>
    <w:rsid w:val="009A0F35"/>
    <w:rsid w:val="009D1F10"/>
    <w:rsid w:val="009D76AC"/>
    <w:rsid w:val="00A57B07"/>
    <w:rsid w:val="00A73094"/>
    <w:rsid w:val="00B4760B"/>
    <w:rsid w:val="00B732C4"/>
    <w:rsid w:val="00B75386"/>
    <w:rsid w:val="00B756FD"/>
    <w:rsid w:val="00C470E5"/>
    <w:rsid w:val="00C949FC"/>
    <w:rsid w:val="00D7287E"/>
    <w:rsid w:val="00DD34CC"/>
    <w:rsid w:val="00EA5953"/>
    <w:rsid w:val="00EB2851"/>
    <w:rsid w:val="00F00D71"/>
    <w:rsid w:val="00F86810"/>
    <w:rsid w:val="00F90957"/>
    <w:rsid w:val="00FC655F"/>
    <w:rsid w:val="010951A7"/>
    <w:rsid w:val="029006F1"/>
    <w:rsid w:val="030A15F1"/>
    <w:rsid w:val="03435C52"/>
    <w:rsid w:val="041744FB"/>
    <w:rsid w:val="042621F8"/>
    <w:rsid w:val="047E1FB9"/>
    <w:rsid w:val="052C41E0"/>
    <w:rsid w:val="05B0028B"/>
    <w:rsid w:val="05C74289"/>
    <w:rsid w:val="06D663A6"/>
    <w:rsid w:val="07664AA9"/>
    <w:rsid w:val="0AD409A0"/>
    <w:rsid w:val="0C29450A"/>
    <w:rsid w:val="0CF90920"/>
    <w:rsid w:val="0D052F8B"/>
    <w:rsid w:val="0D22427D"/>
    <w:rsid w:val="0DEC388F"/>
    <w:rsid w:val="0DFB3956"/>
    <w:rsid w:val="0E1F0604"/>
    <w:rsid w:val="11093079"/>
    <w:rsid w:val="11424D1C"/>
    <w:rsid w:val="11634099"/>
    <w:rsid w:val="1202325C"/>
    <w:rsid w:val="128571E5"/>
    <w:rsid w:val="139F4F81"/>
    <w:rsid w:val="13E7274D"/>
    <w:rsid w:val="149F3026"/>
    <w:rsid w:val="14F70FF5"/>
    <w:rsid w:val="158A71B2"/>
    <w:rsid w:val="15EC275A"/>
    <w:rsid w:val="1623579A"/>
    <w:rsid w:val="171C1FFC"/>
    <w:rsid w:val="17AA5816"/>
    <w:rsid w:val="17CB6A54"/>
    <w:rsid w:val="17F07302"/>
    <w:rsid w:val="19AB7B33"/>
    <w:rsid w:val="19B4137B"/>
    <w:rsid w:val="1C52663A"/>
    <w:rsid w:val="1CF2284B"/>
    <w:rsid w:val="1DC51825"/>
    <w:rsid w:val="1E1D2544"/>
    <w:rsid w:val="1F7B2D1C"/>
    <w:rsid w:val="1FBD62B1"/>
    <w:rsid w:val="20301DE2"/>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DF275CC"/>
    <w:rsid w:val="2E852EAB"/>
    <w:rsid w:val="2FC63D74"/>
    <w:rsid w:val="30D0413E"/>
    <w:rsid w:val="31040C94"/>
    <w:rsid w:val="312B0FAC"/>
    <w:rsid w:val="31F22A68"/>
    <w:rsid w:val="32EE083A"/>
    <w:rsid w:val="34272BB6"/>
    <w:rsid w:val="34D91454"/>
    <w:rsid w:val="359F3BDA"/>
    <w:rsid w:val="35AC53AF"/>
    <w:rsid w:val="382A29C0"/>
    <w:rsid w:val="39B90520"/>
    <w:rsid w:val="3A1D70AA"/>
    <w:rsid w:val="3A875A71"/>
    <w:rsid w:val="3B866CAE"/>
    <w:rsid w:val="3D2C725B"/>
    <w:rsid w:val="3DA6700D"/>
    <w:rsid w:val="3E2C4BB7"/>
    <w:rsid w:val="3F2B5630"/>
    <w:rsid w:val="3F640D97"/>
    <w:rsid w:val="3F664045"/>
    <w:rsid w:val="3F915F6E"/>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BD25472"/>
    <w:rsid w:val="4D1B00DF"/>
    <w:rsid w:val="4FCD667C"/>
    <w:rsid w:val="4FF57096"/>
    <w:rsid w:val="50E85F0B"/>
    <w:rsid w:val="52F3051F"/>
    <w:rsid w:val="53C91D89"/>
    <w:rsid w:val="546C53B3"/>
    <w:rsid w:val="55617B80"/>
    <w:rsid w:val="561D501A"/>
    <w:rsid w:val="56515FE9"/>
    <w:rsid w:val="568D4870"/>
    <w:rsid w:val="57403930"/>
    <w:rsid w:val="5A447D2A"/>
    <w:rsid w:val="5A7A7DD3"/>
    <w:rsid w:val="5CB3223D"/>
    <w:rsid w:val="5CEF488A"/>
    <w:rsid w:val="5DF64A8D"/>
    <w:rsid w:val="5E40418F"/>
    <w:rsid w:val="5F1324D4"/>
    <w:rsid w:val="5F442227"/>
    <w:rsid w:val="5FC5111D"/>
    <w:rsid w:val="5FD111D8"/>
    <w:rsid w:val="623A7395"/>
    <w:rsid w:val="627438C2"/>
    <w:rsid w:val="63814B5D"/>
    <w:rsid w:val="64C96A6A"/>
    <w:rsid w:val="680C7FB1"/>
    <w:rsid w:val="68BE495C"/>
    <w:rsid w:val="6A9B7D71"/>
    <w:rsid w:val="6AE954B5"/>
    <w:rsid w:val="6BA044C1"/>
    <w:rsid w:val="6C775AF2"/>
    <w:rsid w:val="6CE8644B"/>
    <w:rsid w:val="6E5E469C"/>
    <w:rsid w:val="6F0453DE"/>
    <w:rsid w:val="6F250725"/>
    <w:rsid w:val="6F395FEB"/>
    <w:rsid w:val="71212378"/>
    <w:rsid w:val="717766ED"/>
    <w:rsid w:val="72625B8C"/>
    <w:rsid w:val="72F50D26"/>
    <w:rsid w:val="73BB4BC8"/>
    <w:rsid w:val="74607426"/>
    <w:rsid w:val="74C13C0D"/>
    <w:rsid w:val="74D14196"/>
    <w:rsid w:val="76C91732"/>
    <w:rsid w:val="77DD02F3"/>
    <w:rsid w:val="79562EED"/>
    <w:rsid w:val="7A76677D"/>
    <w:rsid w:val="7AC124B5"/>
    <w:rsid w:val="7AF9322A"/>
    <w:rsid w:val="7B161079"/>
    <w:rsid w:val="7B250F85"/>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jc w:val="center"/>
    </w:pPr>
    <w:rPr>
      <w:rFonts w:ascii="仿宋" w:hAnsi="仿宋" w:eastAsia="仿宋" w:cstheme="minorBidi"/>
      <w:b/>
      <w:bCs/>
      <w:kern w:val="2"/>
      <w:sz w:val="24"/>
      <w:szCs w:val="28"/>
      <w:lang w:val="en-US" w:eastAsia="zh-CN" w:bidi="ar-SA"/>
    </w:rPr>
  </w:style>
  <w:style w:type="paragraph" w:styleId="3">
    <w:name w:val="heading 2"/>
    <w:basedOn w:val="1"/>
    <w:next w:val="1"/>
    <w:autoRedefine/>
    <w:qFormat/>
    <w:uiPriority w:val="0"/>
    <w:pPr>
      <w:keepNext/>
      <w:keepLines/>
      <w:spacing w:before="500" w:after="500" w:line="416" w:lineRule="auto"/>
      <w:outlineLvl w:val="1"/>
    </w:pPr>
    <w:rPr>
      <w:rFonts w:ascii="Arial" w:hAnsi="Arial" w:eastAsia="宋体" w:cs="Times New Roman"/>
      <w:b w:val="0"/>
      <w:bCs w:val="0"/>
      <w:sz w:val="32"/>
      <w:szCs w:val="32"/>
    </w:rPr>
  </w:style>
  <w:style w:type="character" w:default="1" w:styleId="11">
    <w:name w:val="Default Paragraph Font"/>
    <w:autoRedefine/>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3"/>
    <w:basedOn w:val="1"/>
    <w:autoRedefine/>
    <w:unhideWhenUsed/>
    <w:qFormat/>
    <w:uiPriority w:val="0"/>
    <w:pPr>
      <w:spacing w:after="120"/>
      <w:ind w:left="420" w:leftChars="200"/>
    </w:pPr>
    <w:rPr>
      <w:sz w:val="16"/>
      <w:szCs w:val="16"/>
    </w:rPr>
  </w:style>
  <w:style w:type="paragraph" w:styleId="4">
    <w:name w:val="index 8"/>
    <w:basedOn w:val="1"/>
    <w:next w:val="1"/>
    <w:autoRedefine/>
    <w:qFormat/>
    <w:uiPriority w:val="0"/>
    <w:pPr>
      <w:jc w:val="left"/>
    </w:pPr>
    <w:rPr>
      <w:rFonts w:ascii="Times New Roman" w:hAnsi="Times New Roman"/>
    </w:rPr>
  </w:style>
  <w:style w:type="paragraph" w:styleId="5">
    <w:name w:val="annotation text"/>
    <w:basedOn w:val="1"/>
    <w:autoRedefine/>
    <w:unhideWhenUsed/>
    <w:qFormat/>
    <w:uiPriority w:val="0"/>
    <w:pPr>
      <w:jc w:val="left"/>
    </w:pPr>
  </w:style>
  <w:style w:type="paragraph" w:styleId="6">
    <w:name w:val="Body Text"/>
    <w:basedOn w:val="1"/>
    <w:next w:val="1"/>
    <w:autoRedefine/>
    <w:qFormat/>
    <w:uiPriority w:val="0"/>
    <w:pPr>
      <w:spacing w:line="380" w:lineRule="exact"/>
    </w:pPr>
    <w:rPr>
      <w:rFonts w:ascii="Times New Roman" w:hAnsi="Times New Roman" w:eastAsia="宋体" w:cs="Times New Roman"/>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autoRedefine/>
    <w:qFormat/>
    <w:uiPriority w:val="0"/>
    <w:rPr>
      <w:szCs w:val="24"/>
    </w:rPr>
  </w:style>
  <w:style w:type="character" w:customStyle="1" w:styleId="13">
    <w:name w:val="font21"/>
    <w:basedOn w:val="11"/>
    <w:autoRedefine/>
    <w:qFormat/>
    <w:uiPriority w:val="0"/>
    <w:rPr>
      <w:rFonts w:hint="eastAsia" w:ascii="宋体" w:hAnsi="宋体" w:eastAsia="宋体" w:cs="宋体"/>
      <w:color w:val="000000"/>
      <w:sz w:val="24"/>
      <w:szCs w:val="24"/>
      <w:u w:val="none"/>
    </w:rPr>
  </w:style>
  <w:style w:type="character" w:customStyle="1" w:styleId="14">
    <w:name w:val="font31"/>
    <w:basedOn w:val="11"/>
    <w:autoRedefine/>
    <w:qFormat/>
    <w:uiPriority w:val="0"/>
    <w:rPr>
      <w:rFonts w:hint="default" w:ascii="Times New Roman" w:hAnsi="Times New Roman" w:cs="Times New Roman"/>
      <w:color w:val="000000"/>
      <w:sz w:val="22"/>
      <w:szCs w:val="22"/>
      <w:u w:val="none"/>
    </w:rPr>
  </w:style>
  <w:style w:type="character" w:customStyle="1" w:styleId="15">
    <w:name w:val="font41"/>
    <w:basedOn w:val="11"/>
    <w:autoRedefine/>
    <w:qFormat/>
    <w:uiPriority w:val="0"/>
    <w:rPr>
      <w:rFonts w:hint="eastAsia" w:ascii="宋体" w:hAnsi="宋体" w:eastAsia="宋体" w:cs="宋体"/>
      <w:color w:val="000000"/>
      <w:sz w:val="22"/>
      <w:szCs w:val="22"/>
      <w:u w:val="none"/>
    </w:rPr>
  </w:style>
  <w:style w:type="paragraph" w:customStyle="1" w:styleId="16">
    <w:name w:val="正文2"/>
    <w:basedOn w:val="1"/>
    <w:autoRedefine/>
    <w:qFormat/>
    <w:uiPriority w:val="0"/>
    <w:pPr>
      <w:spacing w:before="156" w:line="360" w:lineRule="auto"/>
      <w:ind w:firstLine="510" w:firstLineChars="200"/>
    </w:pPr>
  </w:style>
  <w:style w:type="character" w:customStyle="1" w:styleId="17">
    <w:name w:val="font11"/>
    <w:basedOn w:val="11"/>
    <w:autoRedefine/>
    <w:qFormat/>
    <w:uiPriority w:val="0"/>
    <w:rPr>
      <w:rFonts w:hint="eastAsia" w:ascii="宋体" w:hAnsi="宋体" w:eastAsia="宋体" w:cs="宋体"/>
      <w:color w:val="000000"/>
      <w:sz w:val="22"/>
      <w:szCs w:val="22"/>
      <w:u w:val="none"/>
    </w:rPr>
  </w:style>
  <w:style w:type="paragraph" w:styleId="18">
    <w:name w:val="List Paragraph"/>
    <w:basedOn w:val="1"/>
    <w:autoRedefine/>
    <w:qFormat/>
    <w:uiPriority w:val="34"/>
    <w:pPr>
      <w:numPr>
        <w:ilvl w:val="0"/>
        <w:numId w:val="1"/>
      </w:num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2279</Words>
  <Characters>2454</Characters>
  <Lines>17</Lines>
  <Paragraphs>4</Paragraphs>
  <TotalTime>168</TotalTime>
  <ScaleCrop>false</ScaleCrop>
  <LinksUpToDate>false</LinksUpToDate>
  <CharactersWithSpaces>2581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痱子粉</cp:lastModifiedBy>
  <cp:lastPrinted>2022-09-05T11:25:00Z</cp:lastPrinted>
  <dcterms:modified xsi:type="dcterms:W3CDTF">2024-04-24T01:25:26Z</dcterms:modified>
  <dc:title>关于西院门诊住院综合楼大堂采光井电动百叶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A0319F05D9964453B0463A4CDE4FF441_13</vt:lpwstr>
  </property>
</Properties>
</file>