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柳州市工人医院西院低压滤波补偿柜元器件</w:t>
      </w:r>
      <w:r>
        <w:rPr>
          <w:rFonts w:hint="eastAsia" w:ascii="宋体" w:hAnsi="宋体" w:eastAsia="宋体" w:cs="宋体"/>
          <w:b/>
          <w:bCs/>
          <w:sz w:val="32"/>
          <w:szCs w:val="32"/>
          <w:lang w:val="en-US" w:eastAsia="zh-CN"/>
        </w:rPr>
        <w:t>采购需求</w:t>
      </w:r>
    </w:p>
    <w:p>
      <w:pPr>
        <w:keepNext w:val="0"/>
        <w:keepLines w:val="0"/>
        <w:pageBreakBefore w:val="0"/>
        <w:numPr>
          <w:ilvl w:val="0"/>
          <w:numId w:val="1"/>
        </w:numPr>
        <w:kinsoku/>
        <w:wordWrap/>
        <w:overflowPunct/>
        <w:topLinePunct w:val="0"/>
        <w:autoSpaceDE/>
        <w:autoSpaceDN/>
        <w:bidi w:val="0"/>
        <w:adjustRightInd w:val="0"/>
        <w:snapToGrid/>
        <w:spacing w:line="400" w:lineRule="exact"/>
        <w:ind w:left="0" w:leftChars="0" w:firstLine="420" w:firstLineChars="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项目名称</w:t>
      </w:r>
    </w:p>
    <w:p>
      <w:pPr>
        <w:keepNext w:val="0"/>
        <w:keepLines w:val="0"/>
        <w:pageBreakBefore w:val="0"/>
        <w:numPr>
          <w:ilvl w:val="0"/>
          <w:numId w:val="0"/>
        </w:numPr>
        <w:kinsoku/>
        <w:wordWrap/>
        <w:overflowPunct/>
        <w:topLinePunct w:val="0"/>
        <w:autoSpaceDE/>
        <w:autoSpaceDN/>
        <w:bidi w:val="0"/>
        <w:snapToGrid/>
        <w:spacing w:line="400" w:lineRule="exact"/>
        <w:ind w:leftChars="20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柳州市工人医院西院低压滤波补偿柜元器件采购</w:t>
      </w:r>
    </w:p>
    <w:p>
      <w:pPr>
        <w:keepNext w:val="0"/>
        <w:keepLines w:val="0"/>
        <w:pageBreakBefore w:val="0"/>
        <w:numPr>
          <w:ilvl w:val="0"/>
          <w:numId w:val="1"/>
        </w:numPr>
        <w:kinsoku/>
        <w:wordWrap/>
        <w:overflowPunct/>
        <w:topLinePunct w:val="0"/>
        <w:autoSpaceDE/>
        <w:autoSpaceDN/>
        <w:bidi w:val="0"/>
        <w:adjustRightInd w:val="0"/>
        <w:snapToGrid/>
        <w:spacing w:line="400" w:lineRule="exact"/>
        <w:ind w:left="0" w:leftChars="0" w:firstLine="420" w:firstLineChars="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项目概况</w:t>
      </w:r>
    </w:p>
    <w:p>
      <w:pPr>
        <w:keepNext w:val="0"/>
        <w:keepLines w:val="0"/>
        <w:pageBreakBefore w:val="0"/>
        <w:numPr>
          <w:ilvl w:val="0"/>
          <w:numId w:val="0"/>
        </w:numPr>
        <w:kinsoku/>
        <w:wordWrap/>
        <w:overflowPunct/>
        <w:topLinePunct w:val="0"/>
        <w:autoSpaceDE/>
        <w:autoSpaceDN/>
        <w:bidi w:val="0"/>
        <w:snapToGrid/>
        <w:spacing w:line="400" w:lineRule="exact"/>
        <w:ind w:leftChars="200"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项目为我院西院低压滤波补偿柜元器件采购，包含元器件的供货及安装调试服务。</w:t>
      </w:r>
    </w:p>
    <w:p>
      <w:pPr>
        <w:keepNext w:val="0"/>
        <w:keepLines w:val="0"/>
        <w:pageBreakBefore w:val="0"/>
        <w:numPr>
          <w:ilvl w:val="0"/>
          <w:numId w:val="0"/>
        </w:numPr>
        <w:kinsoku/>
        <w:wordWrap/>
        <w:overflowPunct/>
        <w:topLinePunct w:val="0"/>
        <w:autoSpaceDE/>
        <w:autoSpaceDN/>
        <w:bidi w:val="0"/>
        <w:snapToGrid/>
        <w:spacing w:line="400" w:lineRule="exact"/>
        <w:ind w:leftChars="20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项目包含: 容量210kvar/台的滤波补偿柜元器件4套，容量240kvar/台的滤波补偿柜元器件4套。</w:t>
      </w:r>
    </w:p>
    <w:p>
      <w:pPr>
        <w:keepNext w:val="0"/>
        <w:keepLines w:val="0"/>
        <w:pageBreakBefore w:val="0"/>
        <w:numPr>
          <w:ilvl w:val="0"/>
          <w:numId w:val="1"/>
        </w:numPr>
        <w:kinsoku/>
        <w:wordWrap/>
        <w:overflowPunct/>
        <w:topLinePunct w:val="0"/>
        <w:autoSpaceDE/>
        <w:autoSpaceDN/>
        <w:bidi w:val="0"/>
        <w:adjustRightInd w:val="0"/>
        <w:snapToGrid/>
        <w:spacing w:line="400" w:lineRule="exact"/>
        <w:ind w:left="0" w:leftChars="0" w:firstLine="420" w:firstLineChars="0"/>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资质要求</w:t>
      </w:r>
    </w:p>
    <w:p>
      <w:pPr>
        <w:keepNext w:val="0"/>
        <w:keepLines w:val="0"/>
        <w:pageBreakBefore w:val="0"/>
        <w:numPr>
          <w:ilvl w:val="0"/>
          <w:numId w:val="2"/>
        </w:numPr>
        <w:kinsoku/>
        <w:wordWrap/>
        <w:overflowPunct/>
        <w:topLinePunct w:val="0"/>
        <w:autoSpaceDE/>
        <w:autoSpaceDN/>
        <w:bidi w:val="0"/>
        <w:snapToGrid/>
        <w:spacing w:line="40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具有独立承担民事责任能力的在中华人民共和国境内注册的法人，具有合法经营权；</w:t>
      </w:r>
    </w:p>
    <w:p>
      <w:pPr>
        <w:keepNext w:val="0"/>
        <w:keepLines w:val="0"/>
        <w:pageBreakBefore w:val="0"/>
        <w:numPr>
          <w:ilvl w:val="0"/>
          <w:numId w:val="2"/>
        </w:numPr>
        <w:kinsoku/>
        <w:wordWrap/>
        <w:overflowPunct/>
        <w:topLinePunct w:val="0"/>
        <w:autoSpaceDE/>
        <w:autoSpaceDN/>
        <w:bidi w:val="0"/>
        <w:snapToGrid/>
        <w:spacing w:line="40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投标人三年内在经营活动中没有重大违法记录和不良信用记录；</w:t>
      </w:r>
    </w:p>
    <w:p>
      <w:pPr>
        <w:keepNext w:val="0"/>
        <w:keepLines w:val="0"/>
        <w:pageBreakBefore w:val="0"/>
        <w:numPr>
          <w:ilvl w:val="0"/>
          <w:numId w:val="2"/>
        </w:numPr>
        <w:kinsoku/>
        <w:wordWrap/>
        <w:overflowPunct/>
        <w:topLinePunct w:val="0"/>
        <w:autoSpaceDE/>
        <w:autoSpaceDN/>
        <w:bidi w:val="0"/>
        <w:snapToGrid/>
        <w:spacing w:line="40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投标人有效的“营业执照”副本复印件（3证合一）；</w:t>
      </w:r>
    </w:p>
    <w:p>
      <w:pPr>
        <w:keepNext w:val="0"/>
        <w:keepLines w:val="0"/>
        <w:pageBreakBefore w:val="0"/>
        <w:numPr>
          <w:ilvl w:val="0"/>
          <w:numId w:val="2"/>
        </w:numPr>
        <w:kinsoku/>
        <w:wordWrap/>
        <w:overflowPunct/>
        <w:topLinePunct w:val="0"/>
        <w:autoSpaceDE/>
        <w:autoSpaceDN/>
        <w:bidi w:val="0"/>
        <w:snapToGrid/>
        <w:spacing w:line="40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投标人营业执照经营范围须具有电气设备销售资格；</w:t>
      </w:r>
    </w:p>
    <w:p>
      <w:pPr>
        <w:keepNext w:val="0"/>
        <w:keepLines w:val="0"/>
        <w:pageBreakBefore w:val="0"/>
        <w:numPr>
          <w:ilvl w:val="0"/>
          <w:numId w:val="2"/>
        </w:numPr>
        <w:kinsoku/>
        <w:wordWrap/>
        <w:overflowPunct/>
        <w:topLinePunct w:val="0"/>
        <w:autoSpaceDE/>
        <w:autoSpaceDN/>
        <w:bidi w:val="0"/>
        <w:snapToGrid/>
        <w:spacing w:line="40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近3年（2021.3-2024.3）具有1项或以上同时包含有电容器、电抗器及有源滤波器的销售业绩，须提供业绩的合同证明材料，以合同签订时间为准；</w:t>
      </w:r>
    </w:p>
    <w:p>
      <w:pPr>
        <w:keepNext w:val="0"/>
        <w:keepLines w:val="0"/>
        <w:pageBreakBefore w:val="0"/>
        <w:numPr>
          <w:ilvl w:val="0"/>
          <w:numId w:val="2"/>
        </w:numPr>
        <w:kinsoku/>
        <w:wordWrap/>
        <w:overflowPunct/>
        <w:topLinePunct w:val="0"/>
        <w:autoSpaceDE/>
        <w:autoSpaceDN/>
        <w:bidi w:val="0"/>
        <w:snapToGrid/>
        <w:spacing w:line="400" w:lineRule="exact"/>
        <w:ind w:firstLine="480" w:firstLineChars="20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auto"/>
          <w:sz w:val="24"/>
          <w:szCs w:val="24"/>
          <w:highlight w:val="none"/>
          <w:lang w:val="en-US" w:eastAsia="zh-CN"/>
        </w:rPr>
        <w:t>本项目不接受联合体投标。</w:t>
      </w:r>
    </w:p>
    <w:p>
      <w:pPr>
        <w:keepNext w:val="0"/>
        <w:keepLines w:val="0"/>
        <w:pageBreakBefore w:val="0"/>
        <w:numPr>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四、项目内容</w:t>
      </w:r>
    </w:p>
    <w:p>
      <w:pPr>
        <w:pStyle w:val="2"/>
        <w:rPr>
          <w:rFonts w:hint="eastAsia"/>
          <w:lang w:val="en-US" w:eastAsia="zh-CN"/>
        </w:rPr>
      </w:pP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596"/>
        <w:gridCol w:w="2083"/>
        <w:gridCol w:w="833"/>
        <w:gridCol w:w="784"/>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序号</w:t>
            </w:r>
          </w:p>
        </w:tc>
        <w:tc>
          <w:tcPr>
            <w:tcW w:w="25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改造项目</w:t>
            </w:r>
          </w:p>
        </w:tc>
        <w:tc>
          <w:tcPr>
            <w:tcW w:w="20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规格参数</w:t>
            </w:r>
          </w:p>
        </w:tc>
        <w:tc>
          <w:tcPr>
            <w:tcW w:w="8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单位</w:t>
            </w:r>
          </w:p>
        </w:tc>
        <w:tc>
          <w:tcPr>
            <w:tcW w:w="7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数量</w:t>
            </w:r>
          </w:p>
        </w:tc>
        <w:tc>
          <w:tcPr>
            <w:tcW w:w="30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8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596"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sz w:val="24"/>
                <w:szCs w:val="24"/>
                <w:lang w:val="en-US" w:eastAsia="zh-CN"/>
              </w:rPr>
              <w:t>三相共补</w:t>
            </w:r>
            <w:r>
              <w:rPr>
                <w:rFonts w:hint="eastAsia" w:ascii="宋体" w:hAnsi="宋体" w:eastAsia="宋体" w:cs="宋体"/>
                <w:color w:val="000000"/>
                <w:sz w:val="24"/>
                <w:szCs w:val="24"/>
                <w:lang w:eastAsia="zh-CN"/>
              </w:rPr>
              <w:t>电容器（</w:t>
            </w:r>
            <w:r>
              <w:rPr>
                <w:rFonts w:hint="eastAsia" w:ascii="宋体" w:hAnsi="宋体" w:eastAsia="宋体" w:cs="宋体"/>
                <w:color w:val="000000"/>
                <w:sz w:val="24"/>
                <w:szCs w:val="24"/>
                <w:lang w:val="en-US" w:eastAsia="zh-CN"/>
              </w:rPr>
              <w:t>内填充惰性气体</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p>
        </w:tc>
        <w:tc>
          <w:tcPr>
            <w:tcW w:w="2083"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30kvar /台</w:t>
            </w:r>
          </w:p>
        </w:tc>
        <w:tc>
          <w:tcPr>
            <w:tcW w:w="833"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78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60</w:t>
            </w:r>
          </w:p>
        </w:tc>
        <w:tc>
          <w:tcPr>
            <w:tcW w:w="303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艾格曼电气（ACM）、</w:t>
            </w:r>
          </w:p>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容磁电气（ROONSH）、沃伦森电气（WARENSEN）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2596"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sz w:val="24"/>
                <w:szCs w:val="24"/>
                <w:lang w:val="en-US" w:eastAsia="zh-CN"/>
              </w:rPr>
              <w:t>三相共补</w:t>
            </w:r>
            <w:r>
              <w:rPr>
                <w:rFonts w:hint="eastAsia" w:ascii="宋体" w:hAnsi="宋体" w:eastAsia="宋体" w:cs="宋体"/>
                <w:color w:val="000000"/>
                <w:sz w:val="24"/>
                <w:szCs w:val="24"/>
                <w:lang w:eastAsia="zh-CN"/>
              </w:rPr>
              <w:t>电</w:t>
            </w:r>
            <w:r>
              <w:rPr>
                <w:rFonts w:hint="eastAsia" w:ascii="宋体" w:hAnsi="宋体" w:eastAsia="宋体" w:cs="宋体"/>
                <w:color w:val="000000"/>
                <w:sz w:val="24"/>
                <w:szCs w:val="24"/>
                <w:lang w:val="en-US" w:eastAsia="zh-CN"/>
              </w:rPr>
              <w:t>抗</w:t>
            </w:r>
            <w:r>
              <w:rPr>
                <w:rFonts w:hint="eastAsia" w:ascii="宋体" w:hAnsi="宋体" w:eastAsia="宋体" w:cs="宋体"/>
                <w:color w:val="000000"/>
                <w:sz w:val="24"/>
                <w:szCs w:val="24"/>
                <w:lang w:eastAsia="zh-CN"/>
              </w:rPr>
              <w:t>器（</w:t>
            </w:r>
            <w:r>
              <w:rPr>
                <w:rFonts w:hint="eastAsia" w:ascii="宋体" w:hAnsi="宋体" w:eastAsia="宋体" w:cs="宋体"/>
                <w:color w:val="000000"/>
                <w:sz w:val="24"/>
                <w:szCs w:val="24"/>
                <w:lang w:val="en-US" w:eastAsia="zh-CN"/>
              </w:rPr>
              <w:t>14%电抗率</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p>
        </w:tc>
        <w:tc>
          <w:tcPr>
            <w:tcW w:w="2083"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30kvar /台</w:t>
            </w:r>
          </w:p>
        </w:tc>
        <w:tc>
          <w:tcPr>
            <w:tcW w:w="833"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组</w:t>
            </w:r>
          </w:p>
        </w:tc>
        <w:tc>
          <w:tcPr>
            <w:tcW w:w="78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60</w:t>
            </w:r>
          </w:p>
        </w:tc>
        <w:tc>
          <w:tcPr>
            <w:tcW w:w="303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艾格曼电气（ACM）、</w:t>
            </w:r>
          </w:p>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容磁电气（ROONSH）、沃伦森电气（WARENSEN）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2596"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动态投切开关</w:t>
            </w:r>
          </w:p>
        </w:tc>
        <w:tc>
          <w:tcPr>
            <w:tcW w:w="2083"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晶闸管</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30kvar /只</w:t>
            </w:r>
          </w:p>
        </w:tc>
        <w:tc>
          <w:tcPr>
            <w:tcW w:w="833"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78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60</w:t>
            </w:r>
          </w:p>
        </w:tc>
        <w:tc>
          <w:tcPr>
            <w:tcW w:w="303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4</w:t>
            </w:r>
          </w:p>
        </w:tc>
        <w:tc>
          <w:tcPr>
            <w:tcW w:w="2596"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sz w:val="24"/>
                <w:szCs w:val="24"/>
                <w:lang w:eastAsia="zh-CN"/>
              </w:rPr>
              <w:t>电容器组支路阻</w:t>
            </w:r>
            <w:r>
              <w:rPr>
                <w:rFonts w:hint="eastAsia" w:ascii="宋体" w:hAnsi="宋体" w:eastAsia="宋体" w:cs="宋体"/>
                <w:color w:val="000000"/>
                <w:sz w:val="24"/>
                <w:szCs w:val="24"/>
                <w:lang w:val="en-US" w:eastAsia="zh-CN"/>
              </w:rPr>
              <w:t>抗</w:t>
            </w:r>
            <w:r>
              <w:rPr>
                <w:rFonts w:hint="eastAsia" w:ascii="宋体" w:hAnsi="宋体" w:eastAsia="宋体" w:cs="宋体"/>
                <w:color w:val="000000"/>
                <w:sz w:val="24"/>
                <w:szCs w:val="24"/>
                <w:lang w:eastAsia="zh-CN"/>
              </w:rPr>
              <w:t>特性监控系统（</w:t>
            </w:r>
            <w:r>
              <w:rPr>
                <w:rFonts w:hint="eastAsia" w:ascii="宋体" w:hAnsi="宋体" w:eastAsia="宋体" w:cs="宋体"/>
                <w:color w:val="000000"/>
                <w:sz w:val="24"/>
                <w:szCs w:val="24"/>
                <w:lang w:val="en-US" w:eastAsia="zh-CN"/>
              </w:rPr>
              <w:t>主机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p>
        </w:tc>
        <w:tc>
          <w:tcPr>
            <w:tcW w:w="2083"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电源DC24V，电压电流测量精度±0.5%，γ值测量精度±0.5%</w:t>
            </w:r>
          </w:p>
        </w:tc>
        <w:tc>
          <w:tcPr>
            <w:tcW w:w="833"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78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8</w:t>
            </w:r>
          </w:p>
        </w:tc>
        <w:tc>
          <w:tcPr>
            <w:tcW w:w="303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艾格曼电气（ACM）、</w:t>
            </w:r>
          </w:p>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容磁电气（ROONSH）、沃伦森电气（WARENSEN）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2596"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电容器组支路阻</w:t>
            </w:r>
            <w:r>
              <w:rPr>
                <w:rFonts w:hint="eastAsia" w:ascii="宋体" w:hAnsi="宋体" w:eastAsia="宋体" w:cs="宋体"/>
                <w:color w:val="000000"/>
                <w:sz w:val="24"/>
                <w:szCs w:val="24"/>
                <w:lang w:val="en-US" w:eastAsia="zh-CN"/>
              </w:rPr>
              <w:t>抗</w:t>
            </w:r>
            <w:r>
              <w:rPr>
                <w:rFonts w:hint="eastAsia" w:ascii="宋体" w:hAnsi="宋体" w:eastAsia="宋体" w:cs="宋体"/>
                <w:color w:val="000000"/>
                <w:sz w:val="24"/>
                <w:szCs w:val="24"/>
                <w:lang w:eastAsia="zh-CN"/>
              </w:rPr>
              <w:t>特性监控</w:t>
            </w:r>
            <w:r>
              <w:rPr>
                <w:rFonts w:hint="eastAsia" w:ascii="宋体" w:hAnsi="宋体" w:eastAsia="宋体" w:cs="宋体"/>
                <w:color w:val="000000"/>
                <w:sz w:val="24"/>
                <w:szCs w:val="24"/>
                <w:lang w:val="en-US" w:eastAsia="zh-CN"/>
              </w:rPr>
              <w:t>模块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从机</w:t>
            </w:r>
            <w:r>
              <w:rPr>
                <w:rFonts w:hint="eastAsia" w:ascii="宋体" w:hAnsi="宋体" w:eastAsia="宋体" w:cs="宋体"/>
                <w:color w:val="000000"/>
                <w:sz w:val="24"/>
                <w:szCs w:val="24"/>
                <w:lang w:eastAsia="zh-CN"/>
              </w:rPr>
              <w:t>）</w:t>
            </w:r>
          </w:p>
        </w:tc>
        <w:tc>
          <w:tcPr>
            <w:tcW w:w="2083"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配套主机使用</w:t>
            </w:r>
          </w:p>
        </w:tc>
        <w:tc>
          <w:tcPr>
            <w:tcW w:w="833"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78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60</w:t>
            </w:r>
          </w:p>
        </w:tc>
        <w:tc>
          <w:tcPr>
            <w:tcW w:w="303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艾格曼电气（ACM）、</w:t>
            </w:r>
          </w:p>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容磁电气（ROONSH  沃伦森电气（WARENSEN）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8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6</w:t>
            </w:r>
          </w:p>
        </w:tc>
        <w:tc>
          <w:tcPr>
            <w:tcW w:w="2596"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有源滤波器模块</w:t>
            </w:r>
          </w:p>
        </w:tc>
        <w:tc>
          <w:tcPr>
            <w:tcW w:w="2083"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150A/只</w:t>
            </w:r>
          </w:p>
        </w:tc>
        <w:tc>
          <w:tcPr>
            <w:tcW w:w="833"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78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8</w:t>
            </w:r>
          </w:p>
        </w:tc>
        <w:tc>
          <w:tcPr>
            <w:tcW w:w="303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艾格曼电气（ACM）、</w:t>
            </w:r>
          </w:p>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容磁电气（ROONSH）沃伦森电气（WARENSEN）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8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7</w:t>
            </w:r>
          </w:p>
        </w:tc>
        <w:tc>
          <w:tcPr>
            <w:tcW w:w="2596"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补偿控制器</w:t>
            </w:r>
          </w:p>
        </w:tc>
        <w:tc>
          <w:tcPr>
            <w:tcW w:w="2083"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12路控制</w:t>
            </w:r>
          </w:p>
        </w:tc>
        <w:tc>
          <w:tcPr>
            <w:tcW w:w="833"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78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8</w:t>
            </w:r>
          </w:p>
        </w:tc>
        <w:tc>
          <w:tcPr>
            <w:tcW w:w="303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8"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8</w:t>
            </w:r>
          </w:p>
        </w:tc>
        <w:tc>
          <w:tcPr>
            <w:tcW w:w="2596"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sz w:val="24"/>
                <w:szCs w:val="24"/>
                <w:lang w:val="en-US" w:eastAsia="zh-CN"/>
              </w:rPr>
              <w:t>绝缘</w:t>
            </w:r>
            <w:r>
              <w:rPr>
                <w:rFonts w:hint="eastAsia" w:ascii="宋体" w:hAnsi="宋体" w:eastAsia="宋体" w:cs="宋体"/>
                <w:color w:val="000000"/>
                <w:sz w:val="24"/>
                <w:szCs w:val="24"/>
                <w:lang w:eastAsia="zh-CN"/>
              </w:rPr>
              <w:t>铜导线</w:t>
            </w:r>
          </w:p>
        </w:tc>
        <w:tc>
          <w:tcPr>
            <w:tcW w:w="2083"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4.0平方</w:t>
            </w:r>
          </w:p>
        </w:tc>
        <w:tc>
          <w:tcPr>
            <w:tcW w:w="833"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100米/卷</w:t>
            </w:r>
          </w:p>
        </w:tc>
        <w:tc>
          <w:tcPr>
            <w:tcW w:w="78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8</w:t>
            </w:r>
          </w:p>
        </w:tc>
        <w:tc>
          <w:tcPr>
            <w:tcW w:w="3034"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注：1、以上内容全部包含运输、拆除、搬运、安装人工和所有税费等所有费用。</w:t>
      </w:r>
      <w:r>
        <w:rPr>
          <w:rFonts w:hint="eastAsia" w:ascii="宋体" w:hAnsi="宋体" w:eastAsia="宋体" w:cs="宋体"/>
          <w:color w:val="000000" w:themeColor="text1"/>
          <w:sz w:val="24"/>
          <w:szCs w:val="24"/>
          <w:lang w:val="en-US" w:eastAsia="zh-CN"/>
          <w14:textFill>
            <w14:solidFill>
              <w14:schemeClr w14:val="tx1"/>
            </w14:solidFill>
          </w14:textFill>
        </w:rPr>
        <w:t>2、必须按照下列法律法规标准规范：</w:t>
      </w:r>
    </w:p>
    <w:p>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电气设备起动调试</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2、《电力供应与使用条例》</w:t>
      </w:r>
    </w:p>
    <w:p>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bottom"/>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电气装置安装工程电气设备交接试验标准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(GB50150-2016)</w:t>
      </w:r>
    </w:p>
    <w:p>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bottom"/>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《电力设备预防性试验规程</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GB/T24846-2018</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numPr>
          <w:numId w:val="0"/>
        </w:numPr>
        <w:kinsoku/>
        <w:wordWrap/>
        <w:overflowPunct/>
        <w:topLinePunct w:val="0"/>
        <w:autoSpaceDE/>
        <w:autoSpaceDN/>
        <w:bidi w:val="0"/>
        <w:adjustRightInd/>
        <w:snapToGrid/>
        <w:spacing w:line="400" w:lineRule="exact"/>
        <w:ind w:left="420" w:leftChars="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五、项目要求</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400"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1、应标方负责项目所有元器件的采购及安装。</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400"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2、所有元器件至少保修1年。</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400"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3、所有零配件到场后经院方验收合格后才能进行安装。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0"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b w:val="0"/>
          <w:bCs w:val="0"/>
          <w:color w:val="000000" w:themeColor="text1"/>
          <w:sz w:val="24"/>
          <w:szCs w:val="24"/>
          <w:lang w:val="en-US" w:eastAsia="zh-CN"/>
          <w14:textFill>
            <w14:solidFill>
              <w14:schemeClr w14:val="tx1"/>
            </w14:solidFill>
          </w14:textFill>
        </w:rPr>
        <w:t>在从事安装调试过程中，竞标人安排技术熟练、具有相关资格的施工人员进行施工，确保不出现安全事故，如造成用户现场设施的损坏或发生任何安全事故，应由竞标人自行承担相应责任，同时</w:t>
      </w:r>
      <w:r>
        <w:rPr>
          <w:rFonts w:hint="eastAsia" w:ascii="宋体" w:hAnsi="宋体" w:eastAsia="宋体" w:cs="宋体"/>
          <w:sz w:val="24"/>
          <w:szCs w:val="24"/>
          <w:lang w:val="en-US" w:eastAsia="zh-CN"/>
        </w:rPr>
        <w:t>安装过程中不能影响医院业务正常运行。</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400" w:leftChars="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5、</w:t>
      </w:r>
      <w:r>
        <w:rPr>
          <w:rFonts w:hint="eastAsia" w:ascii="宋体" w:hAnsi="宋体" w:eastAsia="宋体" w:cs="宋体"/>
          <w:b w:val="0"/>
          <w:bCs w:val="0"/>
          <w:color w:val="000000" w:themeColor="text1"/>
          <w:sz w:val="24"/>
          <w:szCs w:val="24"/>
          <w:lang w:val="en-US" w:eastAsia="zh-CN"/>
          <w14:textFill>
            <w14:solidFill>
              <w14:schemeClr w14:val="tx1"/>
            </w14:solidFill>
          </w14:textFill>
        </w:rPr>
        <w:t>对低压电容柜的试验、调试严格按南方电网标准执行；依据</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电气装置安装工程电气设备交接试验标准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(GB50150-2016)、</w:t>
      </w:r>
      <w:r>
        <w:rPr>
          <w:rFonts w:hint="eastAsia" w:ascii="宋体" w:hAnsi="宋体" w:eastAsia="宋体" w:cs="宋体"/>
          <w:color w:val="000000" w:themeColor="text1"/>
          <w:sz w:val="24"/>
          <w:szCs w:val="24"/>
          <w14:textFill>
            <w14:solidFill>
              <w14:schemeClr w14:val="tx1"/>
            </w14:solidFill>
          </w14:textFill>
        </w:rPr>
        <w:t>《电力设备预防性试验规程</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GB/T24846-2018</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及国家现行有关设备运行管理规范标准，开展高低压配电室设备的试验和调试。</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400" w:leftChars="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6、调试安装过程中的相关安全施工由中标单位负责。</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400" w:leftChars="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7、向甲方提供所有的检维护记录及试验报告原件。</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400" w:leftChars="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8、在项目履行期内，竞标人必须持有本合同工作范围内国家规定的相应资质，且资质证书在有效期内。若不符合此要求，中断合同关系。</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400" w:leftChars="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9在项目履行期内，现场检测工作人员必须持有的电工作业资格证件等资质。</w:t>
      </w:r>
    </w:p>
    <w:p>
      <w:pPr>
        <w:keepNext w:val="0"/>
        <w:keepLines w:val="0"/>
        <w:pageBreakBefore w:val="0"/>
        <w:numPr>
          <w:numId w:val="0"/>
        </w:numPr>
        <w:kinsoku/>
        <w:wordWrap/>
        <w:overflowPunct/>
        <w:topLinePunct w:val="0"/>
        <w:autoSpaceDE/>
        <w:autoSpaceDN/>
        <w:bidi w:val="0"/>
        <w:adjustRightInd/>
        <w:snapToGrid/>
        <w:spacing w:line="400" w:lineRule="exact"/>
        <w:ind w:left="420" w:leftChars="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六、技术性能参数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采购文件带“★”号的条款为实质性要求和条件，投标人的投标文件必须符合带“★”号的技术要求，否则视为投标文件没有对采购文件的实质性要求和条件作出响应，作为废标处理。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GB"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（1）无功补偿电容器必须为充气式电容器，以便将来的环保回收，避免对环境造成任何损害，不采用充油和其他填充物电容器。电容器装置应有过电压保护，防爆，永无爆炸危险。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（2）每组电容器回路中应有限制合闸涌流的措施，并能防止在短时间内反复投切。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（3）电容器的外壳防护等级不低于IP20。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4）电容器采用固定安装方式。无功功率补偿柜中每一补偿滤波单元应有60S内峰值电压放电到50V或以下的放电器件，并且，当任一分组电容器再次投入时，其线路端子上的剩余电压应不超过额定电压的1O%。在放电器件和单元之间不得有开关、熔断器或其它隔离装置。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（5）电容器单元的金属外壳上应有一个能够承担故障电流的连接头。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（6）自愈性电容器，有过压拉断保护装置，包含过电流，过压力，过温度保护，防止爆炸和胀鼓。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（7）电容器连接采用三相共补的方式，应用智能控制理论，实现自动投切补偿。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（8）电容器应具有，不渗漏，不胀鼓，不燃烧，不爆炸，不污染环境 ,以及寿命长，介质损耗&lt;0.2 W/Kvar等先进指标，同时应与配套设备的技术参数相适应并满足电压波动的允许条件。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（9）电容器被永久击穿时仅故障元件退出运行，其它元件仍可正常运行。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（10）内装放电电阻，在60秒内端子间的电压降至50V以下。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（11）应配有自动投切低压电容器及电抗器组装置，使功率因数保持在0.95以上，同时分组投切时，不应产生谐振。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★（12）电容器主要技术参数要求：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最大过电压: ≥2.5 Un；</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最大过电流: ≥3.5 In；</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最大耐温: ≥75℃；</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电解质：聚丙烯膜；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填充材料：惰性气体；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使用寿命：≥100000小时。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各投标人的投标文件中必须提供电容器产品样册资料复印件或者扫描件，资料中所提供的电容器技术参数符合以上要求，参数不符合以上技术要求的视为不响应本条款。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480" w:firstLineChars="2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★（13）电容器组支路阻抗特性监控系统基本参数：电源DC24V，电压电流测量精度±0.5%，γ值测量精度±0.5%，必须配套相应的电容器组支路阻抗特性监控模块使用。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1）在线实时监测并联电容器组支路阻抗特性参数，同时具有电容器、电抗器、放电线圈一体化保护功能，并能与自控后台进行设备运行状态实时交换。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2）具有电容器容值在线偏离报警和超限跳闸功能。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3）具有电抗器内部匝间短路跳闸功能。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4）具有支路阻抗特性参数跳跃跳闸功能。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5）具有电容器组支路阻抗特性对称故障保护功能。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240" w:firstLineChars="10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各投标人的投标文件中必须提供由国家电器安全质量监督检验中心出具的电容器组支路阻抗特性监控系统检验报告的复印件或者扫描件，不提供检验报告或提供不符合技术要求的检验报告视为不响应本条款。</w:t>
      </w:r>
    </w:p>
    <w:p>
      <w:pPr>
        <w:keepNext w:val="0"/>
        <w:keepLines w:val="0"/>
        <w:pageBreakBefore w:val="0"/>
        <w:numPr>
          <w:numId w:val="0"/>
        </w:numPr>
        <w:kinsoku/>
        <w:wordWrap/>
        <w:overflowPunct/>
        <w:topLinePunct w:val="0"/>
        <w:autoSpaceDE/>
        <w:autoSpaceDN/>
        <w:bidi w:val="0"/>
        <w:adjustRightInd/>
        <w:snapToGrid/>
        <w:spacing w:line="400" w:lineRule="exact"/>
        <w:ind w:left="420" w:leftChars="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七、报价要求</w:t>
      </w:r>
    </w:p>
    <w:p>
      <w:pPr>
        <w:keepNext w:val="0"/>
        <w:keepLines w:val="0"/>
        <w:pageBreakBefore w:val="0"/>
        <w:widowControl/>
        <w:numPr>
          <w:ilvl w:val="0"/>
          <w:numId w:val="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根据项目内容表格进行报价。</w:t>
      </w:r>
    </w:p>
    <w:p>
      <w:pPr>
        <w:keepNext w:val="0"/>
        <w:keepLines w:val="0"/>
        <w:pageBreakBefore w:val="0"/>
        <w:widowControl/>
        <w:numPr>
          <w:ilvl w:val="0"/>
          <w:numId w:val="3"/>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提供资质要求的业绩合同证明材料。</w:t>
      </w:r>
    </w:p>
    <w:p>
      <w:pPr>
        <w:keepNext w:val="0"/>
        <w:keepLines w:val="0"/>
        <w:pageBreakBefore w:val="0"/>
        <w:widowControl/>
        <w:numPr>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八、合同工期及报价方式</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1.签订合同后，30天内完成货物采购及安装；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2.报价为总价包干报价形式。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3.项目双方签订合同，设备安装调试完毕并验收合格（以出具验收报告为准）交付甲方使用，乙方开具全额发票，甲方收到发票后按甲方财务流程向乙方支付合同总价百分之百（100%）的款项。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总务科</w:t>
      </w:r>
    </w:p>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2024年3月28日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p>
    <w:sectPr>
      <w:pgSz w:w="11906" w:h="16838"/>
      <w:pgMar w:top="850" w:right="850" w:bottom="850" w:left="85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DA463"/>
    <w:multiLevelType w:val="singleLevel"/>
    <w:tmpl w:val="02FDA463"/>
    <w:lvl w:ilvl="0" w:tentative="0">
      <w:start w:val="1"/>
      <w:numFmt w:val="decimal"/>
      <w:suff w:val="nothing"/>
      <w:lvlText w:val="%1、"/>
      <w:lvlJc w:val="left"/>
    </w:lvl>
  </w:abstractNum>
  <w:abstractNum w:abstractNumId="1">
    <w:nsid w:val="111897EF"/>
    <w:multiLevelType w:val="singleLevel"/>
    <w:tmpl w:val="111897EF"/>
    <w:lvl w:ilvl="0" w:tentative="0">
      <w:start w:val="1"/>
      <w:numFmt w:val="chineseCounting"/>
      <w:suff w:val="nothing"/>
      <w:lvlText w:val="%1、"/>
      <w:lvlJc w:val="left"/>
      <w:pPr>
        <w:ind w:left="0" w:firstLine="420"/>
      </w:pPr>
      <w:rPr>
        <w:rFonts w:hint="eastAsia"/>
      </w:rPr>
    </w:lvl>
  </w:abstractNum>
  <w:abstractNum w:abstractNumId="2">
    <w:nsid w:val="5242EA7D"/>
    <w:multiLevelType w:val="singleLevel"/>
    <w:tmpl w:val="5242EA7D"/>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00000000"/>
    <w:rsid w:val="04AB3B8E"/>
    <w:rsid w:val="06C07699"/>
    <w:rsid w:val="08AA0601"/>
    <w:rsid w:val="0914325D"/>
    <w:rsid w:val="096D58B6"/>
    <w:rsid w:val="0E7F1E58"/>
    <w:rsid w:val="0EF600FC"/>
    <w:rsid w:val="10A91D8D"/>
    <w:rsid w:val="12047710"/>
    <w:rsid w:val="1ACF7198"/>
    <w:rsid w:val="1E82604E"/>
    <w:rsid w:val="200D54FF"/>
    <w:rsid w:val="204A1267"/>
    <w:rsid w:val="20D2666E"/>
    <w:rsid w:val="217D5DED"/>
    <w:rsid w:val="218750B3"/>
    <w:rsid w:val="225C42C2"/>
    <w:rsid w:val="23D53596"/>
    <w:rsid w:val="270E40C6"/>
    <w:rsid w:val="2EEE2746"/>
    <w:rsid w:val="2EF46558"/>
    <w:rsid w:val="32234D15"/>
    <w:rsid w:val="38C50994"/>
    <w:rsid w:val="3C7776A4"/>
    <w:rsid w:val="3D4959B9"/>
    <w:rsid w:val="3FB6264E"/>
    <w:rsid w:val="45596713"/>
    <w:rsid w:val="48486C40"/>
    <w:rsid w:val="48E22EC4"/>
    <w:rsid w:val="4E881E17"/>
    <w:rsid w:val="51B01CE7"/>
    <w:rsid w:val="520824CB"/>
    <w:rsid w:val="52FE08FA"/>
    <w:rsid w:val="5BC326E1"/>
    <w:rsid w:val="5FB74C8C"/>
    <w:rsid w:val="652D4AC8"/>
    <w:rsid w:val="66CC2D91"/>
    <w:rsid w:val="67206C39"/>
    <w:rsid w:val="6873723D"/>
    <w:rsid w:val="69F148BD"/>
    <w:rsid w:val="6A08607B"/>
    <w:rsid w:val="6D855A48"/>
    <w:rsid w:val="72C53FEF"/>
    <w:rsid w:val="79061441"/>
    <w:rsid w:val="79BF643C"/>
    <w:rsid w:val="7F672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line="360" w:lineRule="auto"/>
    </w:pPr>
    <w:rPr>
      <w:rFonts w:asciiTheme="minorHAnsi" w:hAnsiTheme="minorHAnsi" w:eastAsiaTheme="minorEastAsia" w:cstheme="minorBidi"/>
      <w:b/>
      <w:bCs/>
      <w:kern w:val="2"/>
      <w:sz w:val="24"/>
      <w:szCs w:val="24"/>
      <w:lang w:val="en-US" w:eastAsia="zh-CN" w:bidi="ar-SA"/>
    </w:rPr>
  </w:style>
  <w:style w:type="paragraph" w:styleId="3">
    <w:name w:val="Body Text First Indent 2"/>
    <w:unhideWhenUsed/>
    <w:qFormat/>
    <w:uiPriority w:val="99"/>
    <w:pPr>
      <w:widowControl w:val="0"/>
      <w:spacing w:after="120"/>
      <w:ind w:left="420" w:leftChars="200" w:firstLine="420" w:firstLineChars="200"/>
      <w:jc w:val="both"/>
    </w:pPr>
    <w:rPr>
      <w:rFonts w:asciiTheme="minorHAnsi" w:hAnsiTheme="minorHAnsi" w:eastAsiaTheme="minorEastAsia" w:cstheme="minorBidi"/>
      <w:kern w:val="2"/>
      <w:sz w:val="21"/>
      <w:szCs w:val="24"/>
      <w:lang w:val="en-US" w:eastAsia="zh-CN" w:bidi="ar-SA"/>
    </w:rPr>
  </w:style>
  <w:style w:type="table" w:styleId="5">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autoRedefine/>
    <w:qFormat/>
    <w:uiPriority w:val="0"/>
    <w:rPr>
      <w:rFonts w:hint="eastAsia" w:ascii="宋体" w:hAnsi="宋体" w:eastAsia="宋体" w:cs="宋体"/>
      <w:color w:val="000000"/>
      <w:sz w:val="22"/>
      <w:szCs w:val="22"/>
      <w:u w:val="none"/>
    </w:rPr>
  </w:style>
  <w:style w:type="character" w:customStyle="1" w:styleId="8">
    <w:name w:val="font81"/>
    <w:basedOn w:val="6"/>
    <w:autoRedefine/>
    <w:qFormat/>
    <w:uiPriority w:val="0"/>
    <w:rPr>
      <w:rFonts w:hint="default" w:ascii="Times New Roman" w:hAnsi="Times New Roman" w:cs="Times New Roman"/>
      <w:color w:val="000000"/>
      <w:sz w:val="24"/>
      <w:szCs w:val="24"/>
      <w:u w:val="none"/>
    </w:rPr>
  </w:style>
  <w:style w:type="character" w:customStyle="1" w:styleId="9">
    <w:name w:val="font31"/>
    <w:basedOn w:val="6"/>
    <w:autoRedefine/>
    <w:qFormat/>
    <w:uiPriority w:val="0"/>
    <w:rPr>
      <w:rFonts w:hint="eastAsia" w:ascii="宋体" w:hAnsi="宋体" w:eastAsia="宋体" w:cs="宋体"/>
      <w:color w:val="000000"/>
      <w:sz w:val="24"/>
      <w:szCs w:val="24"/>
      <w:u w:val="none"/>
    </w:rPr>
  </w:style>
  <w:style w:type="paragraph" w:customStyle="1" w:styleId="10">
    <w:name w:val="BodyText1I2"/>
    <w:basedOn w:val="11"/>
    <w:next w:val="1"/>
    <w:autoRedefine/>
    <w:qFormat/>
    <w:uiPriority w:val="0"/>
    <w:pPr>
      <w:spacing w:line="300" w:lineRule="auto"/>
      <w:ind w:left="1021" w:firstLine="200" w:firstLineChars="200"/>
    </w:pPr>
    <w:rPr>
      <w:rFonts w:ascii="Times New Roman" w:hAnsi="Times New Roman"/>
      <w:szCs w:val="20"/>
    </w:rPr>
  </w:style>
  <w:style w:type="paragraph" w:customStyle="1" w:styleId="11">
    <w:name w:val="BodyTextIndent"/>
    <w:basedOn w:val="1"/>
    <w:autoRedefine/>
    <w:qFormat/>
    <w:uiPriority w:val="0"/>
    <w:pPr>
      <w:topLinePunct/>
      <w:spacing w:after="120"/>
      <w:ind w:left="420"/>
    </w:pPr>
    <w:rPr>
      <w:rFonts w:ascii="Calibri" w:hAnsi="Calibri" w:eastAsia="宋体"/>
    </w:rPr>
  </w:style>
  <w:style w:type="paragraph" w:customStyle="1" w:styleId="12">
    <w:name w:val="正文文本首行缩进1"/>
    <w:autoRedefine/>
    <w:qFormat/>
    <w:uiPriority w:val="0"/>
    <w:pPr>
      <w:widowControl w:val="0"/>
      <w:spacing w:after="120"/>
      <w:ind w:firstLine="100" w:firstLineChars="10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2023-01-11T01:05:00Z</dcterms:created>
  <dc:creator>Administrator</dc:creator>
  <cp:lastModifiedBy>痱子粉</cp:lastModifiedBy>
  <cp:lastPrinted>2024-03-14T02:34:00Z</cp:lastPrinted>
  <dcterms:modified xsi:type="dcterms:W3CDTF">2024-03-28T10:13:07Z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8A92C70078CA49E4BFE12B01A5A3D577_12</vt:lpwstr>
  </property>
</Properties>
</file>