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微软雅黑"/>
          <w:b/>
          <w:bCs/>
          <w:kern w:val="44"/>
          <w:sz w:val="30"/>
          <w:szCs w:val="30"/>
          <w:lang w:eastAsia="zh-CN"/>
        </w:rPr>
      </w:pPr>
      <w:bookmarkStart w:id="0" w:name="_Toc344816509"/>
      <w:r>
        <w:rPr>
          <w:rFonts w:hint="eastAsia" w:ascii="宋体" w:hAnsi="宋体" w:eastAsia="宋体" w:cs="微软雅黑"/>
          <w:b/>
          <w:bCs/>
          <w:kern w:val="44"/>
          <w:sz w:val="30"/>
          <w:szCs w:val="30"/>
        </w:rPr>
        <w:t>柳州市</w:t>
      </w:r>
      <w:r>
        <w:rPr>
          <w:rFonts w:ascii="宋体" w:hAnsi="宋体" w:eastAsia="宋体" w:cs="微软雅黑"/>
          <w:b/>
          <w:bCs/>
          <w:kern w:val="44"/>
          <w:sz w:val="30"/>
          <w:szCs w:val="30"/>
        </w:rPr>
        <w:t>工人医院</w:t>
      </w:r>
      <w:r>
        <w:rPr>
          <w:rFonts w:hint="eastAsia" w:ascii="宋体" w:hAnsi="宋体" w:eastAsia="宋体" w:cs="微软雅黑"/>
          <w:b/>
          <w:bCs/>
          <w:kern w:val="44"/>
          <w:sz w:val="30"/>
          <w:szCs w:val="30"/>
        </w:rPr>
        <w:t>介入室影像系统接口开发技术参数</w:t>
      </w:r>
      <w:r>
        <w:rPr>
          <w:rFonts w:hint="eastAsia" w:ascii="宋体" w:hAnsi="宋体" w:eastAsia="宋体" w:cs="微软雅黑"/>
          <w:b/>
          <w:bCs/>
          <w:kern w:val="44"/>
          <w:sz w:val="30"/>
          <w:szCs w:val="30"/>
          <w:lang w:eastAsia="zh-CN"/>
        </w:rPr>
        <w:t>要求</w:t>
      </w:r>
    </w:p>
    <w:p>
      <w:pPr>
        <w:keepNext/>
        <w:keepLines/>
        <w:pageBreakBefore w:val="0"/>
        <w:widowControl w:val="0"/>
        <w:kinsoku/>
        <w:wordWrap/>
        <w:overflowPunct/>
        <w:topLinePunct w:val="0"/>
        <w:autoSpaceDE/>
        <w:autoSpaceDN/>
        <w:bidi w:val="0"/>
        <w:adjustRightInd/>
        <w:snapToGrid/>
        <w:spacing w:line="312" w:lineRule="auto"/>
        <w:ind w:left="420" w:leftChars="200"/>
        <w:jc w:val="left"/>
        <w:textAlignment w:val="auto"/>
        <w:rPr>
          <w:rFonts w:ascii="宋体" w:hAnsi="宋体" w:eastAsia="宋体" w:cs="微软雅黑"/>
          <w:b/>
          <w:bCs/>
          <w:kern w:val="44"/>
          <w:sz w:val="24"/>
          <w:szCs w:val="24"/>
        </w:rPr>
      </w:pPr>
    </w:p>
    <w:bookmarkEnd w:id="0"/>
    <w:p>
      <w:pPr>
        <w:pStyle w:val="11"/>
        <w:pageBreakBefore w:val="0"/>
        <w:widowControl w:val="0"/>
        <w:numPr>
          <w:ilvl w:val="0"/>
          <w:numId w:val="2"/>
        </w:numPr>
        <w:kinsoku/>
        <w:wordWrap/>
        <w:overflowPunct/>
        <w:topLinePunct w:val="0"/>
        <w:autoSpaceDE/>
        <w:autoSpaceDN/>
        <w:bidi w:val="0"/>
        <w:adjustRightInd/>
        <w:snapToGrid/>
        <w:spacing w:line="312" w:lineRule="auto"/>
        <w:ind w:firstLineChars="0"/>
        <w:textAlignment w:val="auto"/>
        <w:rPr>
          <w:rFonts w:ascii="宋体" w:hAnsi="宋体" w:eastAsia="宋体"/>
          <w:b/>
          <w:sz w:val="28"/>
          <w:szCs w:val="28"/>
        </w:rPr>
      </w:pPr>
      <w:r>
        <w:rPr>
          <w:rFonts w:hint="eastAsia" w:ascii="宋体" w:hAnsi="宋体" w:eastAsia="宋体"/>
          <w:b/>
          <w:sz w:val="28"/>
          <w:szCs w:val="28"/>
        </w:rPr>
        <w:t>项目背景</w:t>
      </w:r>
    </w:p>
    <w:p>
      <w:pPr>
        <w:pStyle w:val="5"/>
        <w:rPr>
          <w:rFonts w:hint="default"/>
          <w:sz w:val="24"/>
          <w:szCs w:val="24"/>
          <w:lang w:val="en-US" w:eastAsia="zh-CN"/>
        </w:rPr>
      </w:pPr>
      <w:r>
        <w:rPr>
          <w:rFonts w:hint="eastAsia"/>
          <w:sz w:val="24"/>
          <w:szCs w:val="24"/>
          <w:lang w:val="en-US" w:eastAsia="zh-CN"/>
        </w:rPr>
        <w:t xml:space="preserve">    我院介入室影像系统目前为单机版本，</w:t>
      </w:r>
      <w:r>
        <w:rPr>
          <w:rFonts w:hint="default"/>
          <w:sz w:val="24"/>
          <w:szCs w:val="24"/>
          <w:lang w:val="en-US" w:eastAsia="zh-CN"/>
        </w:rPr>
        <w:t>仅限在介入室使用，无法连接院内PACS系统，导致临床科室完成介入手术后无法在临床终端获取图像信息，从而影响医生与患者和家属沟通及查看影像信息</w:t>
      </w:r>
      <w:r>
        <w:rPr>
          <w:rFonts w:hint="eastAsia"/>
          <w:sz w:val="24"/>
          <w:szCs w:val="24"/>
          <w:lang w:val="en-US" w:eastAsia="zh-CN"/>
        </w:rPr>
        <w:t>。通过开发介入室影像系统接口，可以将介入室影像纳入医院系统管理，并且方便临床浏览调用影像数据，提高影像信息和患者信息的关联性，实现影像数据的快速传输和远程访问，方便数据共享和增强医院的信息化建设。</w:t>
      </w:r>
    </w:p>
    <w:p>
      <w:pPr>
        <w:pStyle w:val="11"/>
        <w:pageBreakBefore w:val="0"/>
        <w:widowControl w:val="0"/>
        <w:kinsoku/>
        <w:wordWrap/>
        <w:overflowPunct/>
        <w:topLinePunct w:val="0"/>
        <w:autoSpaceDE/>
        <w:autoSpaceDN/>
        <w:bidi w:val="0"/>
        <w:adjustRightInd/>
        <w:snapToGrid/>
        <w:spacing w:line="312" w:lineRule="auto"/>
        <w:ind w:firstLine="0" w:firstLineChars="0"/>
        <w:textAlignment w:val="auto"/>
        <w:rPr>
          <w:rFonts w:ascii="宋体" w:hAnsi="宋体" w:eastAsia="宋体"/>
          <w:sz w:val="24"/>
          <w:szCs w:val="24"/>
        </w:rPr>
      </w:pPr>
      <w:r>
        <w:rPr>
          <w:rFonts w:hint="eastAsia" w:ascii="宋体" w:hAnsi="宋体" w:eastAsia="宋体"/>
          <w:b/>
          <w:sz w:val="28"/>
          <w:szCs w:val="28"/>
        </w:rPr>
        <w:t>二、项目建设内容及要求</w:t>
      </w:r>
    </w:p>
    <w:tbl>
      <w:tblPr>
        <w:tblStyle w:val="9"/>
        <w:tblW w:w="7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
        <w:gridCol w:w="1754"/>
        <w:gridCol w:w="1953"/>
        <w:gridCol w:w="3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宋体" w:hAnsi="宋体" w:eastAsia="宋体"/>
              </w:rPr>
            </w:pPr>
            <w:r>
              <w:rPr>
                <w:rFonts w:hint="eastAsia" w:ascii="宋体" w:hAnsi="宋体" w:eastAsia="宋体"/>
              </w:rPr>
              <w:t>序号</w:t>
            </w:r>
          </w:p>
        </w:tc>
        <w:tc>
          <w:tcPr>
            <w:tcW w:w="175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lang w:val="en-US" w:eastAsia="zh-CN"/>
              </w:rPr>
            </w:pPr>
            <w:r>
              <w:rPr>
                <w:rFonts w:hint="eastAsia" w:ascii="宋体" w:hAnsi="宋体" w:eastAsia="宋体"/>
                <w:lang w:val="en-US" w:eastAsia="zh-CN"/>
              </w:rPr>
              <w:t>功能模块</w:t>
            </w:r>
          </w:p>
        </w:tc>
        <w:tc>
          <w:tcPr>
            <w:tcW w:w="5626"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lang w:val="en-US" w:eastAsia="zh-CN"/>
              </w:rPr>
            </w:pPr>
            <w:r>
              <w:rPr>
                <w:rFonts w:hint="eastAsia" w:ascii="宋体" w:hAnsi="宋体" w:eastAsia="宋体"/>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78"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lang w:val="en-US" w:eastAsia="zh-CN"/>
              </w:rPr>
            </w:pPr>
            <w:r>
              <w:rPr>
                <w:rFonts w:hint="eastAsia" w:ascii="宋体" w:hAnsi="宋体" w:eastAsia="宋体"/>
                <w:lang w:val="en-US" w:eastAsia="zh-CN"/>
              </w:rPr>
              <w:t>1</w:t>
            </w:r>
          </w:p>
        </w:tc>
        <w:tc>
          <w:tcPr>
            <w:tcW w:w="1754"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宋体" w:hAnsi="宋体" w:eastAsia="宋体"/>
                <w:lang w:val="en-US" w:eastAsia="zh-CN"/>
              </w:rPr>
            </w:pPr>
            <w:r>
              <w:rPr>
                <w:rFonts w:hint="eastAsia" w:ascii="宋体" w:hAnsi="宋体" w:eastAsia="宋体"/>
                <w:lang w:val="en-US" w:eastAsia="zh-CN"/>
              </w:rPr>
              <w:t>HIS接口</w:t>
            </w:r>
          </w:p>
        </w:tc>
        <w:tc>
          <w:tcPr>
            <w:tcW w:w="5626" w:type="dxa"/>
            <w:gridSpan w:val="2"/>
            <w:vAlign w:val="top"/>
          </w:tcPr>
          <w:p>
            <w:pPr>
              <w:keepNext w:val="0"/>
              <w:keepLines w:val="0"/>
              <w:suppressLineNumbers w:val="0"/>
              <w:spacing w:before="0" w:beforeAutospacing="0" w:after="0" w:afterAutospacing="0" w:line="360" w:lineRule="auto"/>
              <w:ind w:left="0" w:right="0"/>
              <w:rPr>
                <w:rFonts w:hint="default" w:ascii="宋体" w:hAnsi="宋体" w:eastAsiaTheme="minorEastAsia" w:cstheme="minorBidi"/>
                <w:kern w:val="2"/>
                <w:sz w:val="24"/>
                <w:szCs w:val="22"/>
                <w:lang w:val="en-US" w:eastAsia="zh-CN" w:bidi="ar-SA"/>
              </w:rPr>
            </w:pPr>
            <w:r>
              <w:rPr>
                <w:rFonts w:hint="eastAsia" w:ascii="宋体" w:hAnsi="宋体"/>
                <w:sz w:val="24"/>
              </w:rPr>
              <w:t>支持通过扫描</w:t>
            </w:r>
            <w:r>
              <w:rPr>
                <w:rFonts w:hint="eastAsia" w:ascii="宋体" w:hAnsi="宋体"/>
                <w:sz w:val="24"/>
                <w:lang w:val="en-US" w:eastAsia="zh-CN"/>
              </w:rPr>
              <w:t>就诊卡、住院号、身份证号</w:t>
            </w:r>
            <w:r>
              <w:rPr>
                <w:rFonts w:hint="eastAsia" w:ascii="宋体" w:hAnsi="宋体"/>
                <w:sz w:val="24"/>
              </w:rPr>
              <w:t>等硬件身份识别物品直接获取患者的检查信息。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78" w:type="dxa"/>
            <w:vMerge w:val="continue"/>
            <w:vAlign w:val="center"/>
          </w:tcPr>
          <w:p>
            <w:pPr>
              <w:pStyle w:val="2"/>
              <w:keepNext w:val="0"/>
              <w:keepLines w:val="0"/>
              <w:suppressLineNumbers w:val="0"/>
              <w:spacing w:before="0" w:beforeAutospacing="0" w:afterAutospacing="0"/>
              <w:ind w:left="0" w:leftChars="0" w:right="0" w:firstLine="0" w:firstLineChars="0"/>
              <w:rPr>
                <w:rFonts w:hint="default"/>
              </w:rPr>
            </w:pPr>
          </w:p>
        </w:tc>
        <w:tc>
          <w:tcPr>
            <w:tcW w:w="1754" w:type="dxa"/>
            <w:vMerge w:val="continue"/>
            <w:vAlign w:val="center"/>
          </w:tcPr>
          <w:p>
            <w:pPr>
              <w:pStyle w:val="2"/>
              <w:keepNext w:val="0"/>
              <w:keepLines w:val="0"/>
              <w:suppressLineNumbers w:val="0"/>
              <w:spacing w:before="0" w:beforeAutospacing="0" w:afterAutospacing="0"/>
              <w:ind w:left="0" w:leftChars="0" w:right="0" w:firstLine="0" w:firstLineChars="0"/>
              <w:rPr>
                <w:rFonts w:hint="default"/>
              </w:rPr>
            </w:pPr>
          </w:p>
        </w:tc>
        <w:tc>
          <w:tcPr>
            <w:tcW w:w="5626" w:type="dxa"/>
            <w:gridSpan w:val="2"/>
            <w:vAlign w:val="top"/>
          </w:tcPr>
          <w:p>
            <w:pPr>
              <w:keepNext w:val="0"/>
              <w:keepLines w:val="0"/>
              <w:suppressLineNumbers w:val="0"/>
              <w:spacing w:before="0" w:beforeAutospacing="0" w:after="0" w:afterAutospacing="0" w:line="360" w:lineRule="auto"/>
              <w:ind w:left="0" w:right="0"/>
              <w:rPr>
                <w:rFonts w:hint="default" w:ascii="宋体" w:hAnsi="宋体" w:eastAsiaTheme="minorEastAsia" w:cstheme="minorBidi"/>
                <w:kern w:val="2"/>
                <w:sz w:val="24"/>
                <w:szCs w:val="22"/>
                <w:lang w:val="en-US" w:eastAsia="zh-CN" w:bidi="ar-SA"/>
              </w:rPr>
            </w:pPr>
            <w:r>
              <w:rPr>
                <w:rFonts w:hint="eastAsia" w:ascii="宋体" w:hAnsi="宋体"/>
                <w:sz w:val="24"/>
              </w:rPr>
              <w:t>支持扫描带有条码的申请单直接获取患者的检查申请信息。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78" w:type="dxa"/>
            <w:vMerge w:val="continue"/>
            <w:vAlign w:val="center"/>
          </w:tcPr>
          <w:p>
            <w:pPr>
              <w:pStyle w:val="2"/>
              <w:keepNext w:val="0"/>
              <w:keepLines w:val="0"/>
              <w:suppressLineNumbers w:val="0"/>
              <w:spacing w:before="0" w:beforeAutospacing="0" w:afterAutospacing="0"/>
              <w:ind w:left="0" w:leftChars="0" w:right="0" w:firstLine="0" w:firstLineChars="0"/>
              <w:rPr>
                <w:rFonts w:hint="default" w:ascii="宋体" w:hAnsi="宋体" w:eastAsia="宋体" w:cs="宋体"/>
                <w:sz w:val="24"/>
                <w:szCs w:val="24"/>
                <w:lang w:val="en-US" w:eastAsia="zh-CN" w:bidi="ar"/>
              </w:rPr>
            </w:pPr>
          </w:p>
        </w:tc>
        <w:tc>
          <w:tcPr>
            <w:tcW w:w="1754" w:type="dxa"/>
            <w:vMerge w:val="continue"/>
            <w:vAlign w:val="center"/>
          </w:tcPr>
          <w:p>
            <w:pPr>
              <w:pStyle w:val="2"/>
              <w:keepNext w:val="0"/>
              <w:keepLines w:val="0"/>
              <w:suppressLineNumbers w:val="0"/>
              <w:spacing w:before="0" w:beforeAutospacing="0" w:afterAutospacing="0"/>
              <w:ind w:left="0" w:leftChars="0" w:right="0" w:firstLine="0" w:firstLineChars="0"/>
              <w:rPr>
                <w:rFonts w:hint="default" w:ascii="宋体" w:hAnsi="宋体" w:eastAsia="宋体" w:cs="宋体"/>
                <w:sz w:val="24"/>
                <w:szCs w:val="24"/>
                <w:lang w:val="en-US" w:eastAsia="zh-CN" w:bidi="ar"/>
              </w:rPr>
            </w:pPr>
          </w:p>
        </w:tc>
        <w:tc>
          <w:tcPr>
            <w:tcW w:w="5626" w:type="dxa"/>
            <w:gridSpan w:val="2"/>
            <w:vAlign w:val="top"/>
          </w:tcPr>
          <w:p>
            <w:pPr>
              <w:keepNext w:val="0"/>
              <w:keepLines w:val="0"/>
              <w:suppressLineNumbers w:val="0"/>
              <w:spacing w:before="0" w:beforeAutospacing="0" w:after="0" w:afterAutospacing="0" w:line="360" w:lineRule="auto"/>
              <w:ind w:left="0" w:right="0"/>
              <w:rPr>
                <w:rFonts w:hint="default" w:ascii="宋体" w:hAnsi="宋体" w:eastAsiaTheme="minorEastAsia" w:cstheme="minorBidi"/>
                <w:kern w:val="2"/>
                <w:sz w:val="24"/>
                <w:szCs w:val="22"/>
                <w:lang w:val="en-US" w:eastAsia="zh-CN" w:bidi="ar-SA"/>
              </w:rPr>
            </w:pPr>
            <w:r>
              <w:rPr>
                <w:rFonts w:hint="eastAsia" w:ascii="宋体" w:hAnsi="宋体"/>
                <w:sz w:val="24"/>
              </w:rPr>
              <w:t>可将电子申请单提取到系统中，并以规范格式显示。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78" w:type="dxa"/>
            <w:vMerge w:val="continue"/>
            <w:vAlign w:val="center"/>
          </w:tcPr>
          <w:p>
            <w:pPr>
              <w:pStyle w:val="2"/>
              <w:keepNext w:val="0"/>
              <w:keepLines w:val="0"/>
              <w:suppressLineNumbers w:val="0"/>
              <w:spacing w:before="0" w:beforeAutospacing="0" w:afterAutospacing="0"/>
              <w:ind w:left="0" w:leftChars="0" w:right="0" w:firstLine="0" w:firstLineChars="0"/>
              <w:rPr>
                <w:rFonts w:hint="default" w:ascii="宋体" w:hAnsi="宋体" w:eastAsia="宋体" w:cs="宋体"/>
                <w:sz w:val="24"/>
                <w:szCs w:val="24"/>
                <w:lang w:val="en-US" w:eastAsia="zh-CN" w:bidi="ar"/>
              </w:rPr>
            </w:pPr>
          </w:p>
        </w:tc>
        <w:tc>
          <w:tcPr>
            <w:tcW w:w="1754" w:type="dxa"/>
            <w:vMerge w:val="continue"/>
            <w:vAlign w:val="center"/>
          </w:tcPr>
          <w:p>
            <w:pPr>
              <w:pStyle w:val="2"/>
              <w:keepNext w:val="0"/>
              <w:keepLines w:val="0"/>
              <w:suppressLineNumbers w:val="0"/>
              <w:spacing w:before="0" w:beforeAutospacing="0" w:afterAutospacing="0"/>
              <w:ind w:left="0" w:leftChars="0" w:right="0" w:firstLine="0" w:firstLineChars="0"/>
              <w:rPr>
                <w:rFonts w:hint="default" w:ascii="宋体" w:hAnsi="宋体" w:eastAsia="宋体" w:cs="宋体"/>
                <w:sz w:val="24"/>
                <w:szCs w:val="24"/>
                <w:lang w:val="en-US" w:eastAsia="zh-CN" w:bidi="ar"/>
              </w:rPr>
            </w:pPr>
          </w:p>
        </w:tc>
        <w:tc>
          <w:tcPr>
            <w:tcW w:w="5626" w:type="dxa"/>
            <w:gridSpan w:val="2"/>
            <w:vAlign w:val="top"/>
          </w:tcPr>
          <w:p>
            <w:pPr>
              <w:keepNext w:val="0"/>
              <w:keepLines w:val="0"/>
              <w:suppressLineNumbers w:val="0"/>
              <w:spacing w:before="0" w:beforeAutospacing="0" w:after="0" w:afterAutospacing="0" w:line="360" w:lineRule="auto"/>
              <w:ind w:left="0" w:right="0"/>
              <w:rPr>
                <w:rFonts w:hint="default" w:ascii="宋体" w:hAnsi="宋体" w:eastAsiaTheme="minorEastAsia" w:cstheme="minorBidi"/>
                <w:kern w:val="2"/>
                <w:sz w:val="24"/>
                <w:szCs w:val="22"/>
                <w:lang w:val="en-US" w:eastAsia="zh-CN" w:bidi="ar-SA"/>
              </w:rPr>
            </w:pPr>
            <w:r>
              <w:rPr>
                <w:rFonts w:hint="eastAsia" w:ascii="宋体" w:hAnsi="宋体"/>
                <w:sz w:val="24"/>
              </w:rPr>
              <w:t>支持将报告内容及病例状态返回至H</w:t>
            </w:r>
            <w:r>
              <w:rPr>
                <w:rFonts w:hint="default" w:ascii="宋体" w:hAnsi="宋体"/>
                <w:sz w:val="24"/>
              </w:rPr>
              <w:t>IS</w:t>
            </w:r>
            <w:r>
              <w:rPr>
                <w:rFonts w:hint="eastAsia" w:ascii="宋体" w:hAnsi="宋体"/>
                <w:sz w:val="24"/>
                <w:lang w:val="en-US" w:eastAsia="zh-CN"/>
              </w:rPr>
              <w:t>系统</w:t>
            </w:r>
            <w:r>
              <w:rPr>
                <w:rFonts w:hint="eastAsia" w:ascii="宋体" w:hAnsi="宋体"/>
                <w:sz w:val="24"/>
                <w:lang w:eastAsia="zh-CN"/>
              </w:rPr>
              <w:t>、</w:t>
            </w:r>
            <w:r>
              <w:rPr>
                <w:rFonts w:hint="eastAsia" w:ascii="宋体" w:hAnsi="宋体"/>
                <w:sz w:val="24"/>
                <w:lang w:val="en-US" w:eastAsia="zh-CN"/>
              </w:rPr>
              <w:t>病历</w:t>
            </w:r>
            <w:r>
              <w:rPr>
                <w:rFonts w:hint="eastAsia" w:ascii="宋体" w:hAnsi="宋体"/>
                <w:sz w:val="24"/>
              </w:rPr>
              <w:t>系统中。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378"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lang w:val="en-US" w:eastAsia="zh-CN"/>
              </w:rPr>
            </w:pPr>
            <w:r>
              <w:rPr>
                <w:rFonts w:hint="eastAsia" w:ascii="宋体" w:hAnsi="宋体" w:eastAsia="宋体"/>
                <w:lang w:val="en-US" w:eastAsia="zh-CN"/>
              </w:rPr>
              <w:t>2</w:t>
            </w:r>
          </w:p>
        </w:tc>
        <w:tc>
          <w:tcPr>
            <w:tcW w:w="1754"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宋体" w:hAnsi="宋体" w:eastAsia="宋体"/>
                <w:lang w:val="en-US" w:eastAsia="zh-CN"/>
              </w:rPr>
            </w:pPr>
            <w:r>
              <w:rPr>
                <w:rFonts w:hint="eastAsia" w:ascii="宋体" w:hAnsi="宋体" w:eastAsia="宋体"/>
                <w:lang w:val="en-US" w:eastAsia="zh-CN"/>
              </w:rPr>
              <w:t>临床web调阅</w:t>
            </w:r>
          </w:p>
        </w:tc>
        <w:tc>
          <w:tcPr>
            <w:tcW w:w="1953" w:type="dxa"/>
            <w:vMerge w:val="restart"/>
            <w:vAlign w:val="center"/>
          </w:tcPr>
          <w:p>
            <w:pPr>
              <w:pStyle w:val="2"/>
              <w:keepNext w:val="0"/>
              <w:keepLines w:val="0"/>
              <w:suppressLineNumbers w:val="0"/>
              <w:spacing w:before="0" w:beforeAutospacing="0" w:afterAutospacing="0"/>
              <w:ind w:left="0" w:leftChars="0" w:right="0" w:firstLine="0" w:firstLineChars="0"/>
              <w:rPr>
                <w:rFonts w:hint="default" w:ascii="宋体" w:hAnsi="宋体" w:eastAsia="宋体" w:cs="宋体"/>
                <w:sz w:val="24"/>
                <w:szCs w:val="24"/>
                <w:lang w:val="en-US" w:eastAsia="zh-CN" w:bidi="ar"/>
              </w:rPr>
            </w:pPr>
            <w:r>
              <w:rPr>
                <w:rFonts w:hint="eastAsia" w:ascii="宋体" w:hAnsi="宋体"/>
                <w:sz w:val="24"/>
              </w:rPr>
              <w:t>显示功能</w:t>
            </w:r>
          </w:p>
        </w:tc>
        <w:tc>
          <w:tcPr>
            <w:tcW w:w="3673" w:type="dxa"/>
            <w:vAlign w:val="top"/>
          </w:tcPr>
          <w:p>
            <w:pPr>
              <w:keepNext w:val="0"/>
              <w:keepLines w:val="0"/>
              <w:suppressLineNumbers w:val="0"/>
              <w:spacing w:before="0" w:beforeAutospacing="0" w:after="0" w:afterAutospacing="0" w:line="360" w:lineRule="auto"/>
              <w:ind w:left="0" w:right="0"/>
              <w:rPr>
                <w:rFonts w:hint="default" w:ascii="宋体" w:hAnsi="宋体" w:eastAsiaTheme="minorEastAsia" w:cstheme="minorBidi"/>
                <w:kern w:val="2"/>
                <w:sz w:val="24"/>
                <w:szCs w:val="22"/>
                <w:lang w:val="en-US" w:eastAsia="zh-CN" w:bidi="ar-SA"/>
              </w:rPr>
            </w:pPr>
            <w:r>
              <w:rPr>
                <w:rFonts w:hint="eastAsia" w:ascii="宋体" w:hAnsi="宋体"/>
                <w:sz w:val="24"/>
              </w:rPr>
              <w:t>可手动调节工具栏在屏幕中的显示位置</w:t>
            </w:r>
            <w:r>
              <w:rPr>
                <w:rFonts w:hint="default"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378" w:type="dxa"/>
            <w:vMerge w:val="continue"/>
            <w:vAlign w:val="center"/>
          </w:tcPr>
          <w:p>
            <w:pPr>
              <w:pStyle w:val="2"/>
              <w:keepNext w:val="0"/>
              <w:keepLines w:val="0"/>
              <w:suppressLineNumbers w:val="0"/>
              <w:spacing w:before="0" w:beforeAutospacing="0" w:afterAutospacing="0"/>
              <w:ind w:left="0" w:leftChars="0" w:right="0" w:firstLine="0" w:firstLineChars="0"/>
              <w:rPr>
                <w:rFonts w:hint="default"/>
              </w:rPr>
            </w:pPr>
          </w:p>
        </w:tc>
        <w:tc>
          <w:tcPr>
            <w:tcW w:w="1754" w:type="dxa"/>
            <w:vMerge w:val="continue"/>
            <w:vAlign w:val="center"/>
          </w:tcPr>
          <w:p>
            <w:pPr>
              <w:pStyle w:val="2"/>
              <w:keepNext w:val="0"/>
              <w:keepLines w:val="0"/>
              <w:suppressLineNumbers w:val="0"/>
              <w:spacing w:before="0" w:beforeAutospacing="0" w:afterAutospacing="0"/>
              <w:ind w:left="0" w:leftChars="0" w:right="0" w:firstLine="0" w:firstLineChars="0"/>
              <w:rPr>
                <w:rFonts w:hint="default"/>
              </w:rPr>
            </w:pPr>
          </w:p>
        </w:tc>
        <w:tc>
          <w:tcPr>
            <w:tcW w:w="1953" w:type="dxa"/>
            <w:vMerge w:val="continue"/>
            <w:vAlign w:val="center"/>
          </w:tcPr>
          <w:p>
            <w:pPr>
              <w:pStyle w:val="2"/>
              <w:keepNext w:val="0"/>
              <w:keepLines w:val="0"/>
              <w:suppressLineNumbers w:val="0"/>
              <w:spacing w:before="0" w:beforeAutospacing="0" w:afterAutospacing="0"/>
              <w:ind w:left="0" w:leftChars="0" w:right="0" w:firstLine="0" w:firstLineChars="0"/>
              <w:rPr>
                <w:rFonts w:hint="default"/>
              </w:rPr>
            </w:pPr>
          </w:p>
        </w:tc>
        <w:tc>
          <w:tcPr>
            <w:tcW w:w="3673" w:type="dxa"/>
            <w:vAlign w:val="top"/>
          </w:tcPr>
          <w:p>
            <w:pPr>
              <w:keepNext w:val="0"/>
              <w:keepLines w:val="0"/>
              <w:suppressLineNumbers w:val="0"/>
              <w:spacing w:before="0" w:beforeAutospacing="0" w:after="0" w:afterAutospacing="0" w:line="360" w:lineRule="auto"/>
              <w:ind w:left="0" w:right="0"/>
              <w:rPr>
                <w:rFonts w:hint="default" w:ascii="宋体" w:hAnsi="宋体" w:eastAsiaTheme="minorEastAsia" w:cstheme="minorBidi"/>
                <w:kern w:val="2"/>
                <w:sz w:val="24"/>
                <w:szCs w:val="22"/>
                <w:lang w:val="en-US" w:eastAsia="zh-CN" w:bidi="ar-SA"/>
              </w:rPr>
            </w:pPr>
            <w:r>
              <w:rPr>
                <w:rFonts w:hint="eastAsia" w:ascii="宋体" w:hAnsi="宋体"/>
                <w:sz w:val="24"/>
              </w:rPr>
              <w:t>图像显示区域四角标注可定制中文显示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378" w:type="dxa"/>
            <w:vMerge w:val="continue"/>
            <w:vAlign w:val="center"/>
          </w:tcPr>
          <w:p>
            <w:pPr>
              <w:pStyle w:val="2"/>
              <w:keepNext w:val="0"/>
              <w:keepLines w:val="0"/>
              <w:suppressLineNumbers w:val="0"/>
              <w:spacing w:before="0" w:beforeAutospacing="0" w:afterAutospacing="0"/>
              <w:ind w:left="0" w:leftChars="0" w:right="0" w:firstLine="0" w:firstLineChars="0"/>
              <w:rPr>
                <w:rFonts w:hint="default" w:ascii="宋体" w:hAnsi="宋体" w:eastAsia="宋体" w:cs="宋体"/>
                <w:sz w:val="24"/>
                <w:szCs w:val="24"/>
                <w:lang w:val="en-US" w:eastAsia="zh-CN" w:bidi="ar"/>
              </w:rPr>
            </w:pPr>
          </w:p>
        </w:tc>
        <w:tc>
          <w:tcPr>
            <w:tcW w:w="1754" w:type="dxa"/>
            <w:vMerge w:val="continue"/>
            <w:vAlign w:val="center"/>
          </w:tcPr>
          <w:p>
            <w:pPr>
              <w:pStyle w:val="2"/>
              <w:keepNext w:val="0"/>
              <w:keepLines w:val="0"/>
              <w:suppressLineNumbers w:val="0"/>
              <w:spacing w:before="0" w:beforeAutospacing="0" w:afterAutospacing="0"/>
              <w:ind w:left="0" w:leftChars="0" w:right="0" w:firstLine="0" w:firstLineChars="0"/>
              <w:rPr>
                <w:rFonts w:hint="default" w:ascii="宋体" w:hAnsi="宋体" w:eastAsia="宋体" w:cs="宋体"/>
                <w:sz w:val="24"/>
                <w:szCs w:val="24"/>
                <w:lang w:val="en-US" w:eastAsia="zh-CN" w:bidi="ar"/>
              </w:rPr>
            </w:pPr>
          </w:p>
        </w:tc>
        <w:tc>
          <w:tcPr>
            <w:tcW w:w="1953" w:type="dxa"/>
            <w:vMerge w:val="continue"/>
            <w:vAlign w:val="center"/>
          </w:tcPr>
          <w:p>
            <w:pPr>
              <w:pStyle w:val="2"/>
              <w:keepNext w:val="0"/>
              <w:keepLines w:val="0"/>
              <w:suppressLineNumbers w:val="0"/>
              <w:spacing w:before="0" w:beforeAutospacing="0" w:afterAutospacing="0"/>
              <w:ind w:left="0" w:leftChars="0" w:right="0" w:firstLine="0" w:firstLineChars="0"/>
              <w:rPr>
                <w:rFonts w:hint="default" w:ascii="宋体" w:hAnsi="宋体" w:eastAsia="宋体" w:cs="宋体"/>
                <w:sz w:val="24"/>
                <w:szCs w:val="24"/>
                <w:lang w:val="en-US" w:eastAsia="zh-CN" w:bidi="ar"/>
              </w:rPr>
            </w:pPr>
          </w:p>
        </w:tc>
        <w:tc>
          <w:tcPr>
            <w:tcW w:w="3673" w:type="dxa"/>
            <w:vAlign w:val="top"/>
          </w:tcPr>
          <w:p>
            <w:pPr>
              <w:keepNext w:val="0"/>
              <w:keepLines w:val="0"/>
              <w:suppressLineNumbers w:val="0"/>
              <w:spacing w:before="0" w:beforeAutospacing="0" w:after="0" w:afterAutospacing="0" w:line="360" w:lineRule="auto"/>
              <w:ind w:left="0" w:right="0"/>
              <w:rPr>
                <w:rFonts w:hint="default" w:ascii="宋体" w:hAnsi="宋体" w:eastAsiaTheme="minorEastAsia" w:cstheme="minorBidi"/>
                <w:kern w:val="2"/>
                <w:sz w:val="24"/>
                <w:szCs w:val="22"/>
                <w:lang w:val="en-US" w:eastAsia="zh-CN" w:bidi="ar-SA"/>
              </w:rPr>
            </w:pPr>
            <w:r>
              <w:rPr>
                <w:rFonts w:hint="eastAsia" w:ascii="宋体" w:hAnsi="宋体"/>
                <w:sz w:val="24"/>
              </w:rPr>
              <w:t>针对不同类型的图像，屏幕提现不同的工具栏和右键功能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378" w:type="dxa"/>
            <w:vMerge w:val="continue"/>
            <w:vAlign w:val="center"/>
          </w:tcPr>
          <w:p>
            <w:pPr>
              <w:pStyle w:val="2"/>
              <w:keepNext w:val="0"/>
              <w:keepLines w:val="0"/>
              <w:suppressLineNumbers w:val="0"/>
              <w:spacing w:before="0" w:beforeAutospacing="0" w:afterAutospacing="0"/>
              <w:ind w:left="0" w:leftChars="0" w:right="0" w:firstLine="0" w:firstLineChars="0"/>
              <w:rPr>
                <w:rFonts w:hint="default"/>
              </w:rPr>
            </w:pPr>
          </w:p>
        </w:tc>
        <w:tc>
          <w:tcPr>
            <w:tcW w:w="1754" w:type="dxa"/>
            <w:vMerge w:val="continue"/>
            <w:vAlign w:val="center"/>
          </w:tcPr>
          <w:p>
            <w:pPr>
              <w:pStyle w:val="2"/>
              <w:keepNext w:val="0"/>
              <w:keepLines w:val="0"/>
              <w:suppressLineNumbers w:val="0"/>
              <w:spacing w:before="0" w:beforeAutospacing="0" w:afterAutospacing="0"/>
              <w:ind w:left="0" w:leftChars="0" w:right="0" w:firstLine="0" w:firstLineChars="0"/>
              <w:rPr>
                <w:rFonts w:hint="default"/>
              </w:rPr>
            </w:pPr>
          </w:p>
        </w:tc>
        <w:tc>
          <w:tcPr>
            <w:tcW w:w="1953" w:type="dxa"/>
            <w:vAlign w:val="center"/>
          </w:tcPr>
          <w:p>
            <w:pPr>
              <w:pStyle w:val="2"/>
              <w:keepNext w:val="0"/>
              <w:keepLines w:val="0"/>
              <w:suppressLineNumbers w:val="0"/>
              <w:spacing w:before="0" w:beforeAutospacing="0" w:afterAutospacing="0"/>
              <w:ind w:left="0" w:leftChars="0" w:right="0" w:firstLine="0" w:firstLineChars="0"/>
              <w:rPr>
                <w:rFonts w:hint="default"/>
              </w:rPr>
            </w:pPr>
            <w:r>
              <w:rPr>
                <w:rFonts w:hint="eastAsia" w:ascii="宋体" w:hAnsi="宋体"/>
                <w:sz w:val="24"/>
              </w:rPr>
              <w:t>报告打印功能</w:t>
            </w:r>
          </w:p>
        </w:tc>
        <w:tc>
          <w:tcPr>
            <w:tcW w:w="3673" w:type="dxa"/>
            <w:vAlign w:val="center"/>
          </w:tcPr>
          <w:p>
            <w:pPr>
              <w:pStyle w:val="2"/>
              <w:keepNext w:val="0"/>
              <w:keepLines w:val="0"/>
              <w:suppressLineNumbers w:val="0"/>
              <w:spacing w:before="0" w:beforeAutospacing="0" w:afterAutospacing="0"/>
              <w:ind w:left="0" w:leftChars="0" w:right="0" w:firstLine="0" w:firstLineChars="0"/>
              <w:rPr>
                <w:rFonts w:hint="default"/>
              </w:rPr>
            </w:pPr>
            <w:r>
              <w:rPr>
                <w:rFonts w:hint="eastAsia" w:ascii="宋体" w:hAnsi="宋体"/>
                <w:sz w:val="24"/>
              </w:rPr>
              <w:t>可在临床直接打印</w:t>
            </w:r>
            <w:r>
              <w:rPr>
                <w:rFonts w:hint="default" w:ascii="宋体" w:hAnsi="宋体"/>
                <w:sz w:val="24"/>
              </w:rPr>
              <w:t>PDF</w:t>
            </w:r>
            <w:r>
              <w:rPr>
                <w:rFonts w:hint="eastAsia" w:ascii="宋体" w:hAnsi="宋体"/>
                <w:sz w:val="24"/>
              </w:rPr>
              <w:t>格式的患者报告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378" w:type="dxa"/>
            <w:vMerge w:val="continue"/>
            <w:vAlign w:val="center"/>
          </w:tcPr>
          <w:p>
            <w:pPr>
              <w:pStyle w:val="2"/>
              <w:keepNext w:val="0"/>
              <w:keepLines w:val="0"/>
              <w:suppressLineNumbers w:val="0"/>
              <w:spacing w:before="0" w:beforeAutospacing="0" w:afterAutospacing="0"/>
              <w:ind w:left="0" w:leftChars="0" w:right="0" w:firstLine="0" w:firstLineChars="0"/>
              <w:rPr>
                <w:rFonts w:hint="default"/>
              </w:rPr>
            </w:pPr>
          </w:p>
        </w:tc>
        <w:tc>
          <w:tcPr>
            <w:tcW w:w="1754" w:type="dxa"/>
            <w:vMerge w:val="continue"/>
            <w:vAlign w:val="center"/>
          </w:tcPr>
          <w:p>
            <w:pPr>
              <w:pStyle w:val="2"/>
              <w:keepNext w:val="0"/>
              <w:keepLines w:val="0"/>
              <w:suppressLineNumbers w:val="0"/>
              <w:spacing w:before="0" w:beforeAutospacing="0" w:afterAutospacing="0"/>
              <w:ind w:left="0" w:leftChars="0" w:right="0" w:firstLine="0" w:firstLineChars="0"/>
              <w:rPr>
                <w:rFonts w:hint="default"/>
              </w:rPr>
            </w:pPr>
          </w:p>
        </w:tc>
        <w:tc>
          <w:tcPr>
            <w:tcW w:w="1953" w:type="dxa"/>
            <w:vMerge w:val="restart"/>
            <w:vAlign w:val="center"/>
          </w:tcPr>
          <w:p>
            <w:pPr>
              <w:pStyle w:val="2"/>
              <w:keepNext w:val="0"/>
              <w:keepLines w:val="0"/>
              <w:suppressLineNumbers w:val="0"/>
              <w:spacing w:before="0" w:beforeAutospacing="0" w:afterAutospacing="0"/>
              <w:ind w:left="0" w:leftChars="0" w:right="0" w:firstLine="0" w:firstLineChars="0"/>
              <w:rPr>
                <w:rFonts w:hint="default"/>
              </w:rPr>
            </w:pPr>
            <w:r>
              <w:rPr>
                <w:rFonts w:hint="eastAsia" w:ascii="宋体" w:hAnsi="宋体"/>
                <w:sz w:val="24"/>
              </w:rPr>
              <w:t>基本图像处理</w:t>
            </w:r>
          </w:p>
        </w:tc>
        <w:tc>
          <w:tcPr>
            <w:tcW w:w="3673" w:type="dxa"/>
            <w:vAlign w:val="top"/>
          </w:tcPr>
          <w:p>
            <w:pPr>
              <w:keepNext w:val="0"/>
              <w:keepLines w:val="0"/>
              <w:suppressLineNumbers w:val="0"/>
              <w:spacing w:before="0" w:beforeAutospacing="0" w:after="0" w:afterAutospacing="0" w:line="360" w:lineRule="auto"/>
              <w:ind w:left="0" w:right="0"/>
              <w:rPr>
                <w:rFonts w:hint="eastAsia" w:ascii="宋体" w:hAnsi="宋体" w:eastAsiaTheme="minorEastAsia" w:cstheme="minorBidi"/>
                <w:kern w:val="2"/>
                <w:sz w:val="24"/>
                <w:szCs w:val="22"/>
                <w:lang w:val="en-US" w:eastAsia="zh-CN" w:bidi="ar-SA"/>
              </w:rPr>
            </w:pPr>
            <w:r>
              <w:rPr>
                <w:rFonts w:hint="eastAsia" w:ascii="宋体" w:hAnsi="宋体"/>
                <w:sz w:val="24"/>
              </w:rPr>
              <w:t>窗宽、窗位调整、放大、漫游、图像翻转和负片操作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378" w:type="dxa"/>
            <w:vMerge w:val="continue"/>
            <w:vAlign w:val="center"/>
          </w:tcPr>
          <w:p>
            <w:pPr>
              <w:pStyle w:val="2"/>
              <w:keepNext w:val="0"/>
              <w:keepLines w:val="0"/>
              <w:suppressLineNumbers w:val="0"/>
              <w:spacing w:before="0" w:beforeAutospacing="0" w:afterAutospacing="0"/>
              <w:ind w:left="0" w:leftChars="0" w:right="0" w:firstLine="0" w:firstLineChars="0"/>
              <w:rPr>
                <w:rFonts w:hint="default"/>
              </w:rPr>
            </w:pPr>
          </w:p>
        </w:tc>
        <w:tc>
          <w:tcPr>
            <w:tcW w:w="1754" w:type="dxa"/>
            <w:vMerge w:val="continue"/>
            <w:vAlign w:val="center"/>
          </w:tcPr>
          <w:p>
            <w:pPr>
              <w:pStyle w:val="2"/>
              <w:keepNext w:val="0"/>
              <w:keepLines w:val="0"/>
              <w:suppressLineNumbers w:val="0"/>
              <w:spacing w:before="0" w:beforeAutospacing="0" w:afterAutospacing="0"/>
              <w:ind w:left="0" w:leftChars="0" w:right="0" w:firstLine="0" w:firstLineChars="0"/>
              <w:rPr>
                <w:rFonts w:hint="default"/>
              </w:rPr>
            </w:pPr>
          </w:p>
        </w:tc>
        <w:tc>
          <w:tcPr>
            <w:tcW w:w="1953" w:type="dxa"/>
            <w:vMerge w:val="continue"/>
            <w:vAlign w:val="center"/>
          </w:tcPr>
          <w:p>
            <w:pPr>
              <w:pStyle w:val="2"/>
              <w:keepNext w:val="0"/>
              <w:keepLines w:val="0"/>
              <w:suppressLineNumbers w:val="0"/>
              <w:spacing w:before="0" w:beforeAutospacing="0" w:afterAutospacing="0"/>
              <w:ind w:left="0" w:leftChars="0" w:right="0" w:firstLine="0" w:firstLineChars="0"/>
              <w:rPr>
                <w:rFonts w:hint="default"/>
              </w:rPr>
            </w:pPr>
          </w:p>
        </w:tc>
        <w:tc>
          <w:tcPr>
            <w:tcW w:w="3673" w:type="dxa"/>
            <w:vAlign w:val="top"/>
          </w:tcPr>
          <w:p>
            <w:pPr>
              <w:keepNext w:val="0"/>
              <w:keepLines w:val="0"/>
              <w:suppressLineNumbers w:val="0"/>
              <w:spacing w:before="0" w:beforeAutospacing="0" w:after="0" w:afterAutospacing="0" w:line="360" w:lineRule="auto"/>
              <w:ind w:left="0" w:right="0"/>
              <w:rPr>
                <w:rFonts w:hint="eastAsia" w:ascii="宋体" w:hAnsi="宋体" w:eastAsiaTheme="minorEastAsia" w:cstheme="minorBidi"/>
                <w:kern w:val="2"/>
                <w:sz w:val="24"/>
                <w:szCs w:val="22"/>
                <w:lang w:val="en-US" w:eastAsia="zh-CN" w:bidi="ar-SA"/>
              </w:rPr>
            </w:pPr>
            <w:r>
              <w:rPr>
                <w:rFonts w:hint="eastAsia" w:ascii="宋体" w:hAnsi="宋体"/>
                <w:sz w:val="24"/>
              </w:rPr>
              <w:t>各种面积、直方图、长度和角度测量工具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378" w:type="dxa"/>
            <w:vMerge w:val="continue"/>
            <w:vAlign w:val="center"/>
          </w:tcPr>
          <w:p>
            <w:pPr>
              <w:pStyle w:val="2"/>
              <w:keepNext w:val="0"/>
              <w:keepLines w:val="0"/>
              <w:suppressLineNumbers w:val="0"/>
              <w:spacing w:before="0" w:beforeAutospacing="0" w:afterAutospacing="0"/>
              <w:ind w:left="0" w:leftChars="0" w:right="0" w:firstLine="0" w:firstLineChars="0"/>
              <w:rPr>
                <w:rFonts w:hint="default"/>
              </w:rPr>
            </w:pPr>
          </w:p>
        </w:tc>
        <w:tc>
          <w:tcPr>
            <w:tcW w:w="1754" w:type="dxa"/>
            <w:vMerge w:val="continue"/>
            <w:vAlign w:val="center"/>
          </w:tcPr>
          <w:p>
            <w:pPr>
              <w:pStyle w:val="2"/>
              <w:keepNext w:val="0"/>
              <w:keepLines w:val="0"/>
              <w:suppressLineNumbers w:val="0"/>
              <w:spacing w:before="0" w:beforeAutospacing="0" w:afterAutospacing="0"/>
              <w:ind w:left="0" w:leftChars="0" w:right="0" w:firstLine="0" w:firstLineChars="0"/>
              <w:rPr>
                <w:rFonts w:hint="default"/>
              </w:rPr>
            </w:pPr>
          </w:p>
        </w:tc>
        <w:tc>
          <w:tcPr>
            <w:tcW w:w="1953" w:type="dxa"/>
            <w:vMerge w:val="continue"/>
            <w:vAlign w:val="center"/>
          </w:tcPr>
          <w:p>
            <w:pPr>
              <w:pStyle w:val="2"/>
              <w:keepNext w:val="0"/>
              <w:keepLines w:val="0"/>
              <w:suppressLineNumbers w:val="0"/>
              <w:spacing w:before="0" w:beforeAutospacing="0" w:afterAutospacing="0"/>
              <w:ind w:left="0" w:leftChars="0" w:right="0" w:firstLine="0" w:firstLineChars="0"/>
              <w:rPr>
                <w:rFonts w:hint="default"/>
              </w:rPr>
            </w:pPr>
          </w:p>
        </w:tc>
        <w:tc>
          <w:tcPr>
            <w:tcW w:w="3673" w:type="dxa"/>
            <w:vAlign w:val="top"/>
          </w:tcPr>
          <w:p>
            <w:pPr>
              <w:keepNext w:val="0"/>
              <w:keepLines w:val="0"/>
              <w:suppressLineNumbers w:val="0"/>
              <w:spacing w:before="0" w:beforeAutospacing="0" w:after="0" w:afterAutospacing="0" w:line="360" w:lineRule="auto"/>
              <w:ind w:left="0" w:right="0"/>
              <w:rPr>
                <w:rFonts w:hint="eastAsia" w:ascii="宋体" w:hAnsi="宋体" w:eastAsiaTheme="minorEastAsia" w:cstheme="minorBidi"/>
                <w:kern w:val="2"/>
                <w:sz w:val="24"/>
                <w:szCs w:val="22"/>
                <w:lang w:val="en-US" w:eastAsia="zh-CN" w:bidi="ar-SA"/>
              </w:rPr>
            </w:pPr>
            <w:r>
              <w:rPr>
                <w:rFonts w:hint="eastAsia" w:ascii="宋体" w:hAnsi="宋体"/>
                <w:sz w:val="24"/>
              </w:rPr>
              <w:t>伪彩功能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378" w:type="dxa"/>
            <w:vMerge w:val="continue"/>
            <w:vAlign w:val="center"/>
          </w:tcPr>
          <w:p>
            <w:pPr>
              <w:pStyle w:val="2"/>
              <w:keepNext w:val="0"/>
              <w:keepLines w:val="0"/>
              <w:suppressLineNumbers w:val="0"/>
              <w:spacing w:before="0" w:beforeAutospacing="0" w:afterAutospacing="0"/>
              <w:ind w:left="0" w:leftChars="0" w:right="0" w:firstLine="0" w:firstLineChars="0"/>
              <w:rPr>
                <w:rFonts w:hint="default"/>
              </w:rPr>
            </w:pPr>
          </w:p>
        </w:tc>
        <w:tc>
          <w:tcPr>
            <w:tcW w:w="1754" w:type="dxa"/>
            <w:vMerge w:val="continue"/>
            <w:vAlign w:val="center"/>
          </w:tcPr>
          <w:p>
            <w:pPr>
              <w:pStyle w:val="2"/>
              <w:keepNext w:val="0"/>
              <w:keepLines w:val="0"/>
              <w:suppressLineNumbers w:val="0"/>
              <w:spacing w:before="0" w:beforeAutospacing="0" w:afterAutospacing="0"/>
              <w:ind w:left="0" w:leftChars="0" w:right="0" w:firstLine="0" w:firstLineChars="0"/>
              <w:rPr>
                <w:rFonts w:hint="default"/>
              </w:rPr>
            </w:pPr>
          </w:p>
        </w:tc>
        <w:tc>
          <w:tcPr>
            <w:tcW w:w="1953" w:type="dxa"/>
            <w:vMerge w:val="continue"/>
            <w:vAlign w:val="center"/>
          </w:tcPr>
          <w:p>
            <w:pPr>
              <w:pStyle w:val="2"/>
              <w:keepNext w:val="0"/>
              <w:keepLines w:val="0"/>
              <w:suppressLineNumbers w:val="0"/>
              <w:spacing w:before="0" w:beforeAutospacing="0" w:afterAutospacing="0"/>
              <w:ind w:left="0" w:leftChars="0" w:right="0" w:firstLine="0" w:firstLineChars="0"/>
              <w:rPr>
                <w:rFonts w:hint="default"/>
              </w:rPr>
            </w:pPr>
          </w:p>
        </w:tc>
        <w:tc>
          <w:tcPr>
            <w:tcW w:w="3673" w:type="dxa"/>
            <w:vAlign w:val="top"/>
          </w:tcPr>
          <w:p>
            <w:pPr>
              <w:keepNext w:val="0"/>
              <w:keepLines w:val="0"/>
              <w:suppressLineNumbers w:val="0"/>
              <w:spacing w:before="0" w:beforeAutospacing="0" w:after="0" w:afterAutospacing="0" w:line="360" w:lineRule="auto"/>
              <w:ind w:left="0" w:right="0"/>
              <w:rPr>
                <w:rFonts w:hint="eastAsia" w:ascii="宋体" w:hAnsi="宋体" w:eastAsiaTheme="minorEastAsia" w:cstheme="minorBidi"/>
                <w:kern w:val="2"/>
                <w:sz w:val="24"/>
                <w:szCs w:val="22"/>
                <w:lang w:val="en-US" w:eastAsia="zh-CN" w:bidi="ar-SA"/>
              </w:rPr>
            </w:pPr>
            <w:r>
              <w:rPr>
                <w:rFonts w:hint="eastAsia" w:ascii="宋体" w:hAnsi="宋体"/>
                <w:sz w:val="24"/>
              </w:rPr>
              <w:t>局部放大镜和自动窗位显示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378" w:type="dxa"/>
            <w:vMerge w:val="continue"/>
            <w:vAlign w:val="center"/>
          </w:tcPr>
          <w:p>
            <w:pPr>
              <w:pStyle w:val="2"/>
              <w:keepNext w:val="0"/>
              <w:keepLines w:val="0"/>
              <w:suppressLineNumbers w:val="0"/>
              <w:spacing w:before="0" w:beforeAutospacing="0" w:afterAutospacing="0"/>
              <w:ind w:left="0" w:leftChars="0" w:right="0" w:firstLine="0" w:firstLineChars="0"/>
              <w:rPr>
                <w:rFonts w:hint="default"/>
              </w:rPr>
            </w:pPr>
          </w:p>
        </w:tc>
        <w:tc>
          <w:tcPr>
            <w:tcW w:w="1754" w:type="dxa"/>
            <w:vMerge w:val="continue"/>
            <w:vAlign w:val="center"/>
          </w:tcPr>
          <w:p>
            <w:pPr>
              <w:pStyle w:val="2"/>
              <w:keepNext w:val="0"/>
              <w:keepLines w:val="0"/>
              <w:suppressLineNumbers w:val="0"/>
              <w:spacing w:before="0" w:beforeAutospacing="0" w:afterAutospacing="0"/>
              <w:ind w:left="0" w:leftChars="0" w:right="0" w:firstLine="0" w:firstLineChars="0"/>
              <w:rPr>
                <w:rFonts w:hint="default"/>
              </w:rPr>
            </w:pPr>
          </w:p>
        </w:tc>
        <w:tc>
          <w:tcPr>
            <w:tcW w:w="1953" w:type="dxa"/>
            <w:vMerge w:val="continue"/>
            <w:vAlign w:val="center"/>
          </w:tcPr>
          <w:p>
            <w:pPr>
              <w:pStyle w:val="2"/>
              <w:keepNext w:val="0"/>
              <w:keepLines w:val="0"/>
              <w:suppressLineNumbers w:val="0"/>
              <w:spacing w:before="0" w:beforeAutospacing="0" w:afterAutospacing="0"/>
              <w:ind w:left="0" w:leftChars="0" w:right="0" w:firstLine="0" w:firstLineChars="0"/>
              <w:rPr>
                <w:rFonts w:hint="default"/>
              </w:rPr>
            </w:pPr>
          </w:p>
        </w:tc>
        <w:tc>
          <w:tcPr>
            <w:tcW w:w="3673" w:type="dxa"/>
            <w:vAlign w:val="top"/>
          </w:tcPr>
          <w:p>
            <w:pPr>
              <w:keepNext w:val="0"/>
              <w:keepLines w:val="0"/>
              <w:suppressLineNumbers w:val="0"/>
              <w:spacing w:before="0" w:beforeAutospacing="0" w:after="0" w:afterAutospacing="0" w:line="360" w:lineRule="auto"/>
              <w:ind w:left="0" w:right="0"/>
              <w:rPr>
                <w:rFonts w:hint="eastAsia" w:ascii="宋体" w:hAnsi="宋体" w:eastAsiaTheme="minorEastAsia" w:cstheme="minorBidi"/>
                <w:kern w:val="2"/>
                <w:sz w:val="24"/>
                <w:szCs w:val="22"/>
                <w:lang w:val="en-US" w:eastAsia="zh-CN" w:bidi="ar-SA"/>
              </w:rPr>
            </w:pPr>
            <w:r>
              <w:rPr>
                <w:rFonts w:hint="eastAsia" w:ascii="宋体" w:hAnsi="宋体"/>
                <w:sz w:val="24"/>
              </w:rPr>
              <w:t>根据圈定区域自动设定窗宽、窗位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378" w:type="dxa"/>
            <w:vMerge w:val="continue"/>
            <w:vAlign w:val="center"/>
          </w:tcPr>
          <w:p>
            <w:pPr>
              <w:pStyle w:val="2"/>
              <w:keepNext w:val="0"/>
              <w:keepLines w:val="0"/>
              <w:suppressLineNumbers w:val="0"/>
              <w:spacing w:before="0" w:beforeAutospacing="0" w:afterAutospacing="0"/>
              <w:ind w:left="0" w:leftChars="0" w:right="0" w:firstLine="0" w:firstLineChars="0"/>
              <w:rPr>
                <w:rFonts w:hint="default"/>
              </w:rPr>
            </w:pPr>
          </w:p>
        </w:tc>
        <w:tc>
          <w:tcPr>
            <w:tcW w:w="1754" w:type="dxa"/>
            <w:vMerge w:val="continue"/>
            <w:vAlign w:val="center"/>
          </w:tcPr>
          <w:p>
            <w:pPr>
              <w:pStyle w:val="2"/>
              <w:keepNext w:val="0"/>
              <w:keepLines w:val="0"/>
              <w:suppressLineNumbers w:val="0"/>
              <w:spacing w:before="0" w:beforeAutospacing="0" w:afterAutospacing="0"/>
              <w:ind w:left="0" w:leftChars="0" w:right="0" w:firstLine="0" w:firstLineChars="0"/>
              <w:rPr>
                <w:rFonts w:hint="default"/>
              </w:rPr>
            </w:pPr>
          </w:p>
        </w:tc>
        <w:tc>
          <w:tcPr>
            <w:tcW w:w="1953" w:type="dxa"/>
            <w:vMerge w:val="continue"/>
            <w:vAlign w:val="center"/>
          </w:tcPr>
          <w:p>
            <w:pPr>
              <w:pStyle w:val="2"/>
              <w:keepNext w:val="0"/>
              <w:keepLines w:val="0"/>
              <w:suppressLineNumbers w:val="0"/>
              <w:spacing w:before="0" w:beforeAutospacing="0" w:afterAutospacing="0"/>
              <w:ind w:left="0" w:leftChars="0" w:right="0" w:firstLine="0" w:firstLineChars="0"/>
              <w:rPr>
                <w:rFonts w:hint="default"/>
              </w:rPr>
            </w:pPr>
          </w:p>
        </w:tc>
        <w:tc>
          <w:tcPr>
            <w:tcW w:w="3673" w:type="dxa"/>
            <w:vAlign w:val="top"/>
          </w:tcPr>
          <w:p>
            <w:pPr>
              <w:keepNext w:val="0"/>
              <w:keepLines w:val="0"/>
              <w:suppressLineNumbers w:val="0"/>
              <w:spacing w:before="0" w:beforeAutospacing="0" w:after="0" w:afterAutospacing="0" w:line="360" w:lineRule="auto"/>
              <w:ind w:left="0" w:right="0"/>
              <w:rPr>
                <w:rFonts w:hint="eastAsia" w:ascii="宋体" w:hAnsi="宋体" w:eastAsiaTheme="minorEastAsia" w:cstheme="minorBidi"/>
                <w:kern w:val="2"/>
                <w:sz w:val="24"/>
                <w:szCs w:val="22"/>
                <w:lang w:val="en-US" w:eastAsia="zh-CN" w:bidi="ar-SA"/>
              </w:rPr>
            </w:pPr>
            <w:r>
              <w:rPr>
                <w:rFonts w:hint="eastAsia" w:ascii="宋体" w:hAnsi="宋体"/>
                <w:sz w:val="24"/>
              </w:rPr>
              <w:t>自动计算定位线，并可选取定位线来选取图像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378" w:type="dxa"/>
            <w:vMerge w:val="continue"/>
            <w:vAlign w:val="center"/>
          </w:tcPr>
          <w:p>
            <w:pPr>
              <w:pStyle w:val="2"/>
              <w:keepNext w:val="0"/>
              <w:keepLines w:val="0"/>
              <w:suppressLineNumbers w:val="0"/>
              <w:spacing w:before="0" w:beforeAutospacing="0" w:afterAutospacing="0"/>
              <w:ind w:left="0" w:leftChars="0" w:right="0" w:firstLine="0" w:firstLineChars="0"/>
              <w:rPr>
                <w:rFonts w:hint="default"/>
              </w:rPr>
            </w:pPr>
          </w:p>
        </w:tc>
        <w:tc>
          <w:tcPr>
            <w:tcW w:w="1754" w:type="dxa"/>
            <w:vMerge w:val="continue"/>
            <w:vAlign w:val="center"/>
          </w:tcPr>
          <w:p>
            <w:pPr>
              <w:pStyle w:val="2"/>
              <w:keepNext w:val="0"/>
              <w:keepLines w:val="0"/>
              <w:suppressLineNumbers w:val="0"/>
              <w:spacing w:before="0" w:beforeAutospacing="0" w:afterAutospacing="0"/>
              <w:ind w:left="0" w:leftChars="0" w:right="0" w:firstLine="0" w:firstLineChars="0"/>
              <w:rPr>
                <w:rFonts w:hint="default"/>
              </w:rPr>
            </w:pPr>
          </w:p>
        </w:tc>
        <w:tc>
          <w:tcPr>
            <w:tcW w:w="1953" w:type="dxa"/>
            <w:vMerge w:val="continue"/>
            <w:vAlign w:val="center"/>
          </w:tcPr>
          <w:p>
            <w:pPr>
              <w:pStyle w:val="2"/>
              <w:keepNext w:val="0"/>
              <w:keepLines w:val="0"/>
              <w:suppressLineNumbers w:val="0"/>
              <w:spacing w:before="0" w:beforeAutospacing="0" w:afterAutospacing="0"/>
              <w:ind w:left="0" w:leftChars="0" w:right="0" w:firstLine="0" w:firstLineChars="0"/>
              <w:rPr>
                <w:rFonts w:hint="default"/>
              </w:rPr>
            </w:pPr>
          </w:p>
        </w:tc>
        <w:tc>
          <w:tcPr>
            <w:tcW w:w="3673" w:type="dxa"/>
            <w:vAlign w:val="top"/>
          </w:tcPr>
          <w:p>
            <w:pPr>
              <w:keepNext w:val="0"/>
              <w:keepLines w:val="0"/>
              <w:suppressLineNumbers w:val="0"/>
              <w:spacing w:before="0" w:beforeAutospacing="0" w:after="0" w:afterAutospacing="0" w:line="360" w:lineRule="auto"/>
              <w:ind w:left="0" w:right="0"/>
              <w:rPr>
                <w:rFonts w:hint="eastAsia" w:ascii="宋体" w:hAnsi="宋体" w:eastAsiaTheme="minorEastAsia" w:cstheme="minorBidi"/>
                <w:kern w:val="2"/>
                <w:sz w:val="24"/>
                <w:szCs w:val="22"/>
                <w:lang w:val="en-US" w:eastAsia="zh-CN" w:bidi="ar-SA"/>
              </w:rPr>
            </w:pPr>
            <w:r>
              <w:rPr>
                <w:rFonts w:hint="eastAsia" w:ascii="宋体" w:hAnsi="宋体"/>
                <w:sz w:val="24"/>
              </w:rPr>
              <w:t>支持组对比和成组图像的操作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378" w:type="dxa"/>
            <w:vMerge w:val="continue"/>
            <w:vAlign w:val="center"/>
          </w:tcPr>
          <w:p>
            <w:pPr>
              <w:pStyle w:val="2"/>
              <w:keepNext w:val="0"/>
              <w:keepLines w:val="0"/>
              <w:suppressLineNumbers w:val="0"/>
              <w:spacing w:before="0" w:beforeAutospacing="0" w:afterAutospacing="0"/>
              <w:ind w:left="0" w:leftChars="0" w:right="0" w:firstLine="0" w:firstLineChars="0"/>
              <w:rPr>
                <w:rFonts w:hint="default"/>
              </w:rPr>
            </w:pPr>
          </w:p>
        </w:tc>
        <w:tc>
          <w:tcPr>
            <w:tcW w:w="1754" w:type="dxa"/>
            <w:vMerge w:val="continue"/>
            <w:vAlign w:val="center"/>
          </w:tcPr>
          <w:p>
            <w:pPr>
              <w:pStyle w:val="2"/>
              <w:keepNext w:val="0"/>
              <w:keepLines w:val="0"/>
              <w:suppressLineNumbers w:val="0"/>
              <w:spacing w:before="0" w:beforeAutospacing="0" w:afterAutospacing="0"/>
              <w:ind w:left="0" w:leftChars="0" w:right="0" w:firstLine="0" w:firstLineChars="0"/>
              <w:rPr>
                <w:rFonts w:hint="default"/>
              </w:rPr>
            </w:pPr>
          </w:p>
        </w:tc>
        <w:tc>
          <w:tcPr>
            <w:tcW w:w="1953" w:type="dxa"/>
            <w:vMerge w:val="continue"/>
            <w:vAlign w:val="center"/>
          </w:tcPr>
          <w:p>
            <w:pPr>
              <w:pStyle w:val="2"/>
              <w:keepNext w:val="0"/>
              <w:keepLines w:val="0"/>
              <w:suppressLineNumbers w:val="0"/>
              <w:spacing w:before="0" w:beforeAutospacing="0" w:afterAutospacing="0"/>
              <w:ind w:left="0" w:leftChars="0" w:right="0" w:firstLine="0" w:firstLineChars="0"/>
              <w:rPr>
                <w:rFonts w:hint="default"/>
              </w:rPr>
            </w:pPr>
          </w:p>
        </w:tc>
        <w:tc>
          <w:tcPr>
            <w:tcW w:w="3673" w:type="dxa"/>
            <w:vAlign w:val="top"/>
          </w:tcPr>
          <w:p>
            <w:pPr>
              <w:keepNext w:val="0"/>
              <w:keepLines w:val="0"/>
              <w:suppressLineNumbers w:val="0"/>
              <w:spacing w:before="0" w:beforeAutospacing="0" w:after="0" w:afterAutospacing="0" w:line="360" w:lineRule="auto"/>
              <w:ind w:left="0" w:right="0"/>
              <w:rPr>
                <w:rFonts w:hint="eastAsia" w:ascii="宋体" w:hAnsi="宋体" w:eastAsiaTheme="minorEastAsia" w:cstheme="minorBidi"/>
                <w:kern w:val="2"/>
                <w:sz w:val="24"/>
                <w:szCs w:val="22"/>
                <w:lang w:val="en-US" w:eastAsia="zh-CN" w:bidi="ar-SA"/>
              </w:rPr>
            </w:pPr>
            <w:r>
              <w:rPr>
                <w:rFonts w:hint="eastAsia" w:ascii="宋体" w:hAnsi="宋体"/>
                <w:sz w:val="24"/>
              </w:rPr>
              <w:t>按扫描周期来进行序列的自动拆分和显示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378" w:type="dxa"/>
            <w:vMerge w:val="continue"/>
            <w:vAlign w:val="center"/>
          </w:tcPr>
          <w:p>
            <w:pPr>
              <w:pStyle w:val="2"/>
              <w:keepNext w:val="0"/>
              <w:keepLines w:val="0"/>
              <w:suppressLineNumbers w:val="0"/>
              <w:spacing w:before="0" w:beforeAutospacing="0" w:afterAutospacing="0"/>
              <w:ind w:left="0" w:leftChars="0" w:right="0" w:firstLine="0" w:firstLineChars="0"/>
              <w:rPr>
                <w:rFonts w:hint="default"/>
              </w:rPr>
            </w:pPr>
          </w:p>
        </w:tc>
        <w:tc>
          <w:tcPr>
            <w:tcW w:w="1754" w:type="dxa"/>
            <w:vMerge w:val="continue"/>
            <w:vAlign w:val="center"/>
          </w:tcPr>
          <w:p>
            <w:pPr>
              <w:pStyle w:val="2"/>
              <w:keepNext w:val="0"/>
              <w:keepLines w:val="0"/>
              <w:suppressLineNumbers w:val="0"/>
              <w:spacing w:before="0" w:beforeAutospacing="0" w:afterAutospacing="0"/>
              <w:ind w:left="0" w:leftChars="0" w:right="0" w:firstLine="0" w:firstLineChars="0"/>
              <w:rPr>
                <w:rFonts w:hint="default"/>
              </w:rPr>
            </w:pPr>
          </w:p>
        </w:tc>
        <w:tc>
          <w:tcPr>
            <w:tcW w:w="1953" w:type="dxa"/>
            <w:vMerge w:val="continue"/>
            <w:vAlign w:val="center"/>
          </w:tcPr>
          <w:p>
            <w:pPr>
              <w:pStyle w:val="2"/>
              <w:keepNext w:val="0"/>
              <w:keepLines w:val="0"/>
              <w:suppressLineNumbers w:val="0"/>
              <w:spacing w:before="0" w:beforeAutospacing="0" w:afterAutospacing="0"/>
              <w:ind w:left="0" w:leftChars="0" w:right="0" w:firstLine="0" w:firstLineChars="0"/>
              <w:rPr>
                <w:rFonts w:hint="default"/>
              </w:rPr>
            </w:pPr>
          </w:p>
        </w:tc>
        <w:tc>
          <w:tcPr>
            <w:tcW w:w="3673" w:type="dxa"/>
            <w:vAlign w:val="top"/>
          </w:tcPr>
          <w:p>
            <w:pPr>
              <w:keepNext w:val="0"/>
              <w:keepLines w:val="0"/>
              <w:suppressLineNumbers w:val="0"/>
              <w:spacing w:before="0" w:beforeAutospacing="0" w:after="0" w:afterAutospacing="0" w:line="360" w:lineRule="auto"/>
              <w:ind w:left="0" w:right="0"/>
              <w:rPr>
                <w:rFonts w:hint="eastAsia" w:ascii="宋体" w:hAnsi="宋体" w:eastAsiaTheme="minorEastAsia" w:cstheme="minorBidi"/>
                <w:kern w:val="2"/>
                <w:sz w:val="24"/>
                <w:szCs w:val="22"/>
                <w:lang w:val="en-US" w:eastAsia="zh-CN" w:bidi="ar-SA"/>
              </w:rPr>
            </w:pPr>
            <w:r>
              <w:rPr>
                <w:rFonts w:hint="eastAsia" w:ascii="宋体" w:hAnsi="宋体"/>
                <w:sz w:val="24"/>
              </w:rPr>
              <w:t>DSA相关的图像处理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378" w:type="dxa"/>
            <w:vMerge w:val="continue"/>
            <w:vAlign w:val="center"/>
          </w:tcPr>
          <w:p>
            <w:pPr>
              <w:pStyle w:val="2"/>
              <w:keepNext w:val="0"/>
              <w:keepLines w:val="0"/>
              <w:suppressLineNumbers w:val="0"/>
              <w:spacing w:before="0" w:beforeAutospacing="0" w:afterAutospacing="0"/>
              <w:ind w:left="0" w:leftChars="0" w:right="0" w:firstLine="0" w:firstLineChars="0"/>
              <w:rPr>
                <w:rFonts w:hint="default"/>
              </w:rPr>
            </w:pPr>
          </w:p>
        </w:tc>
        <w:tc>
          <w:tcPr>
            <w:tcW w:w="1754" w:type="dxa"/>
            <w:vMerge w:val="continue"/>
            <w:vAlign w:val="center"/>
          </w:tcPr>
          <w:p>
            <w:pPr>
              <w:pStyle w:val="2"/>
              <w:keepNext w:val="0"/>
              <w:keepLines w:val="0"/>
              <w:suppressLineNumbers w:val="0"/>
              <w:spacing w:before="0" w:beforeAutospacing="0" w:afterAutospacing="0"/>
              <w:ind w:left="0" w:leftChars="0" w:right="0" w:firstLine="0" w:firstLineChars="0"/>
              <w:rPr>
                <w:rFonts w:hint="default"/>
              </w:rPr>
            </w:pPr>
          </w:p>
        </w:tc>
        <w:tc>
          <w:tcPr>
            <w:tcW w:w="1953" w:type="dxa"/>
            <w:vAlign w:val="center"/>
          </w:tcPr>
          <w:p>
            <w:pPr>
              <w:pStyle w:val="2"/>
              <w:keepNext w:val="0"/>
              <w:keepLines w:val="0"/>
              <w:suppressLineNumbers w:val="0"/>
              <w:spacing w:before="0" w:beforeAutospacing="0" w:afterAutospacing="0"/>
              <w:ind w:left="0" w:leftChars="0" w:right="0" w:firstLine="0" w:firstLineChars="0"/>
              <w:rPr>
                <w:rFonts w:hint="default"/>
              </w:rPr>
            </w:pPr>
            <w:r>
              <w:rPr>
                <w:rFonts w:hint="default" w:ascii="宋体" w:hAnsi="宋体"/>
                <w:sz w:val="24"/>
              </w:rPr>
              <w:t>HIS/EMR</w:t>
            </w:r>
            <w:r>
              <w:rPr>
                <w:rFonts w:hint="eastAsia" w:ascii="宋体" w:hAnsi="宋体"/>
                <w:sz w:val="24"/>
              </w:rPr>
              <w:t>整合</w:t>
            </w:r>
          </w:p>
        </w:tc>
        <w:tc>
          <w:tcPr>
            <w:tcW w:w="3673" w:type="dxa"/>
            <w:vAlign w:val="top"/>
          </w:tcPr>
          <w:p>
            <w:pPr>
              <w:keepNext w:val="0"/>
              <w:keepLines w:val="0"/>
              <w:suppressLineNumbers w:val="0"/>
              <w:spacing w:before="0" w:beforeAutospacing="0" w:after="0" w:afterAutospacing="0" w:line="360" w:lineRule="auto"/>
              <w:ind w:left="0" w:right="0"/>
              <w:rPr>
                <w:rFonts w:hint="eastAsia" w:ascii="宋体" w:hAnsi="宋体"/>
                <w:sz w:val="24"/>
              </w:rPr>
            </w:pPr>
            <w:r>
              <w:rPr>
                <w:rFonts w:hint="eastAsia" w:ascii="宋体" w:hAnsi="宋体"/>
                <w:sz w:val="24"/>
              </w:rPr>
              <w:t>可通过</w:t>
            </w:r>
            <w:r>
              <w:rPr>
                <w:rFonts w:hint="default" w:ascii="宋体" w:hAnsi="宋体"/>
                <w:sz w:val="24"/>
              </w:rPr>
              <w:t>PID</w:t>
            </w:r>
            <w:r>
              <w:rPr>
                <w:rFonts w:hint="eastAsia" w:ascii="宋体" w:hAnsi="宋体"/>
                <w:sz w:val="24"/>
              </w:rPr>
              <w:t>等参数调用以</w:t>
            </w:r>
            <w:r>
              <w:rPr>
                <w:rFonts w:hint="default" w:ascii="宋体" w:hAnsi="宋体"/>
                <w:sz w:val="24"/>
              </w:rPr>
              <w:t>WEB</w:t>
            </w:r>
            <w:r>
              <w:rPr>
                <w:rFonts w:hint="eastAsia" w:ascii="宋体" w:hAnsi="宋体"/>
                <w:sz w:val="24"/>
              </w:rPr>
              <w:t>的方式直接打开患者的图像和报告</w:t>
            </w:r>
          </w:p>
        </w:tc>
      </w:tr>
    </w:tbl>
    <w:p>
      <w:pPr>
        <w:pStyle w:val="5"/>
        <w:pageBreakBefore w:val="0"/>
        <w:widowControl w:val="0"/>
        <w:kinsoku/>
        <w:wordWrap/>
        <w:overflowPunct/>
        <w:topLinePunct w:val="0"/>
        <w:autoSpaceDE/>
        <w:autoSpaceDN/>
        <w:bidi w:val="0"/>
        <w:adjustRightInd/>
        <w:snapToGrid/>
        <w:spacing w:after="0" w:line="312" w:lineRule="auto"/>
        <w:textAlignment w:val="auto"/>
        <w:rPr>
          <w:lang w:val="en-US"/>
        </w:rPr>
      </w:pPr>
    </w:p>
    <w:p>
      <w:pPr>
        <w:pStyle w:val="5"/>
        <w:pageBreakBefore w:val="0"/>
        <w:widowControl w:val="0"/>
        <w:kinsoku/>
        <w:wordWrap/>
        <w:overflowPunct/>
        <w:topLinePunct w:val="0"/>
        <w:autoSpaceDE/>
        <w:autoSpaceDN/>
        <w:bidi w:val="0"/>
        <w:adjustRightInd/>
        <w:snapToGrid/>
        <w:spacing w:after="0" w:line="312" w:lineRule="auto"/>
        <w:textAlignment w:val="auto"/>
        <w:rPr>
          <w:rFonts w:ascii="宋体" w:hAnsi="宋体" w:eastAsia="宋体" w:cs="宋体"/>
          <w:b/>
          <w:bCs/>
          <w:color w:val="auto"/>
          <w:sz w:val="28"/>
          <w:lang w:val="en-US"/>
        </w:rPr>
      </w:pPr>
      <w:r>
        <w:rPr>
          <w:rFonts w:hint="eastAsia" w:ascii="宋体" w:hAnsi="宋体" w:eastAsia="宋体" w:cs="宋体"/>
          <w:b/>
          <w:bCs/>
          <w:color w:val="auto"/>
          <w:sz w:val="28"/>
          <w:lang w:val="en-US"/>
        </w:rPr>
        <w:t>三、对接口及系统改造的要求</w:t>
      </w:r>
    </w:p>
    <w:p>
      <w:pPr>
        <w:pageBreakBefore w:val="0"/>
        <w:widowControl w:val="0"/>
        <w:kinsoku/>
        <w:wordWrap/>
        <w:overflowPunct/>
        <w:topLinePunct w:val="0"/>
        <w:autoSpaceDE/>
        <w:autoSpaceDN/>
        <w:bidi w:val="0"/>
        <w:adjustRightInd/>
        <w:snapToGrid/>
        <w:spacing w:line="312" w:lineRule="auto"/>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ab/>
      </w:r>
      <w:r>
        <w:rPr>
          <w:rFonts w:hint="eastAsia" w:ascii="宋体" w:hAnsi="宋体" w:eastAsia="宋体" w:cs="宋体"/>
          <w:b/>
          <w:bCs/>
          <w:color w:val="auto"/>
          <w:sz w:val="24"/>
          <w:szCs w:val="24"/>
          <w:lang w:eastAsia="zh-CN"/>
        </w:rPr>
        <w:t>质</w:t>
      </w:r>
      <w:r>
        <w:rPr>
          <w:rFonts w:hint="eastAsia" w:ascii="宋体" w:hAnsi="宋体" w:eastAsia="宋体" w:cs="宋体"/>
          <w:b/>
          <w:bCs/>
          <w:color w:val="auto"/>
          <w:sz w:val="24"/>
          <w:szCs w:val="24"/>
        </w:rPr>
        <w:t>保期和</w:t>
      </w:r>
      <w:r>
        <w:rPr>
          <w:rFonts w:hint="eastAsia" w:ascii="宋体" w:hAnsi="宋体" w:eastAsia="宋体" w:cs="宋体"/>
          <w:b/>
          <w:bCs/>
          <w:color w:val="auto"/>
          <w:sz w:val="24"/>
          <w:szCs w:val="24"/>
          <w:lang w:eastAsia="zh-CN"/>
        </w:rPr>
        <w:t>维</w:t>
      </w:r>
      <w:r>
        <w:rPr>
          <w:rFonts w:hint="eastAsia" w:ascii="宋体" w:hAnsi="宋体" w:eastAsia="宋体" w:cs="宋体"/>
          <w:b/>
          <w:bCs/>
          <w:color w:val="auto"/>
          <w:sz w:val="24"/>
          <w:szCs w:val="24"/>
        </w:rPr>
        <w:t>保期内免费实现以下要求：</w:t>
      </w:r>
    </w:p>
    <w:p>
      <w:pPr>
        <w:pStyle w:val="5"/>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lang w:val="en-US"/>
        </w:rPr>
      </w:pPr>
      <w:r>
        <w:rPr>
          <w:rFonts w:hint="eastAsia" w:ascii="宋体" w:hAnsi="宋体" w:eastAsia="宋体" w:cs="宋体"/>
          <w:color w:val="auto"/>
          <w:sz w:val="24"/>
          <w:lang w:val="en-US"/>
        </w:rPr>
        <w:t>3.1提供全面的接口技术，与第三方系统共享数据和功能，这些接口技术包括中间件技术接口、WEBSEVICE通用接口、数据库级接口、文件文本接口等。</w:t>
      </w:r>
    </w:p>
    <w:p>
      <w:pPr>
        <w:pStyle w:val="5"/>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lang w:val="en-US"/>
        </w:rPr>
      </w:pPr>
      <w:r>
        <w:rPr>
          <w:rFonts w:hint="eastAsia" w:ascii="宋体" w:hAnsi="宋体" w:eastAsia="宋体" w:cs="宋体"/>
          <w:color w:val="auto"/>
          <w:sz w:val="24"/>
          <w:lang w:val="en-US"/>
        </w:rPr>
        <w:t>3.2提供与医院第三方系统统一接口的维护与管理，与HIS、电子病历、LIS、PACS、心电系统、体检系统、集成平台、</w:t>
      </w:r>
      <w:r>
        <w:rPr>
          <w:rFonts w:hint="eastAsia" w:ascii="宋体" w:hAnsi="宋体" w:eastAsia="宋体" w:cs="宋体"/>
          <w:color w:val="auto"/>
          <w:sz w:val="24"/>
          <w:lang w:val="en-US" w:eastAsia="zh-CN"/>
        </w:rPr>
        <w:t>智慧运营平台、</w:t>
      </w:r>
      <w:r>
        <w:rPr>
          <w:rFonts w:hint="eastAsia" w:ascii="宋体" w:hAnsi="宋体" w:eastAsia="宋体" w:cs="宋体"/>
          <w:color w:val="auto"/>
          <w:sz w:val="24"/>
          <w:lang w:val="en-US"/>
        </w:rPr>
        <w:t>成本管理系统、排班系统、</w:t>
      </w:r>
      <w:r>
        <w:rPr>
          <w:rFonts w:hint="eastAsia" w:ascii="宋体" w:hAnsi="宋体" w:eastAsia="宋体" w:cs="宋体"/>
          <w:color w:val="auto"/>
          <w:sz w:val="24"/>
          <w:lang w:val="en-US" w:eastAsia="zh-CN"/>
        </w:rPr>
        <w:t>人力资源</w:t>
      </w:r>
      <w:r>
        <w:rPr>
          <w:rFonts w:hint="eastAsia" w:ascii="宋体" w:hAnsi="宋体" w:eastAsia="宋体" w:cs="宋体"/>
          <w:color w:val="auto"/>
          <w:sz w:val="24"/>
          <w:lang w:val="en-US"/>
        </w:rPr>
        <w:t>管理系统、财务管理系统、互联网医院、OA系统、自助服务平台、DRG管理、绩效管理、电子发票、短信平台、财务电子档案等其他所有医院相关业务系统包括以上医院系统但不仅限于以上系统进行免费接口对接，实现数据交换。</w:t>
      </w:r>
    </w:p>
    <w:p>
      <w:pPr>
        <w:pStyle w:val="5"/>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lang w:val="en-US"/>
        </w:rPr>
      </w:pPr>
      <w:r>
        <w:rPr>
          <w:rFonts w:hint="eastAsia" w:ascii="宋体" w:hAnsi="宋体" w:eastAsia="宋体" w:cs="宋体"/>
          <w:color w:val="auto"/>
          <w:sz w:val="24"/>
          <w:lang w:val="en-US"/>
        </w:rPr>
        <w:t>3.3满足医院电子病历系统功能应用水平分级评价达到6级以上评审、医院信息互联互通标准化成熟度测评达到</w:t>
      </w:r>
      <w:r>
        <w:rPr>
          <w:rFonts w:hint="eastAsia" w:ascii="宋体" w:hAnsi="宋体" w:eastAsia="宋体" w:cs="宋体"/>
          <w:color w:val="auto"/>
          <w:sz w:val="24"/>
          <w:lang w:val="en-US" w:eastAsia="zh-CN"/>
        </w:rPr>
        <w:t>五</w:t>
      </w:r>
      <w:r>
        <w:rPr>
          <w:rFonts w:hint="eastAsia" w:ascii="宋体" w:hAnsi="宋体" w:eastAsia="宋体" w:cs="宋体"/>
          <w:color w:val="auto"/>
          <w:sz w:val="24"/>
          <w:lang w:val="en-US"/>
        </w:rPr>
        <w:t>级</w:t>
      </w:r>
      <w:r>
        <w:rPr>
          <w:rFonts w:hint="eastAsia" w:ascii="宋体" w:hAnsi="宋体" w:eastAsia="宋体" w:cs="宋体"/>
          <w:color w:val="auto"/>
          <w:sz w:val="24"/>
          <w:lang w:val="en-US" w:eastAsia="zh-CN"/>
        </w:rPr>
        <w:t>乙</w:t>
      </w:r>
      <w:r>
        <w:rPr>
          <w:rFonts w:hint="eastAsia" w:ascii="宋体" w:hAnsi="宋体" w:eastAsia="宋体" w:cs="宋体"/>
          <w:color w:val="auto"/>
          <w:sz w:val="24"/>
          <w:lang w:val="en-US"/>
        </w:rPr>
        <w:t>等以上水平评审、信息系统安全等级保护三级测评、三甲医院评审、医院智慧服务分级评估标准体系达到4级以上相关的功能要求、医院智慧管理分级评估标准体系达到4级以上相关的功能要求、网络攻防演练中的安全防护要求以及医院其他需要评审的信息化技术改造服务要求</w:t>
      </w:r>
      <w:r>
        <w:rPr>
          <w:rFonts w:hint="eastAsia" w:ascii="宋体" w:hAnsi="宋体" w:eastAsia="宋体" w:cs="宋体"/>
          <w:color w:val="auto"/>
          <w:sz w:val="24"/>
          <w:lang w:val="en-US" w:eastAsia="zh-CN"/>
        </w:rPr>
        <w:t>。</w:t>
      </w:r>
    </w:p>
    <w:p>
      <w:pPr>
        <w:pStyle w:val="5"/>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lang w:val="en-US"/>
        </w:rPr>
      </w:pPr>
      <w:r>
        <w:rPr>
          <w:rFonts w:hint="eastAsia" w:ascii="宋体" w:hAnsi="宋体" w:eastAsia="宋体" w:cs="宋体"/>
          <w:color w:val="auto"/>
          <w:sz w:val="24"/>
          <w:lang w:val="en-US"/>
        </w:rPr>
        <w:t>3.4提供软件免费升级及个性化修改服务，免费实现院方的个性化需求</w:t>
      </w:r>
      <w:r>
        <w:rPr>
          <w:rFonts w:hint="eastAsia" w:ascii="宋体" w:hAnsi="宋体" w:eastAsia="宋体" w:cs="宋体"/>
          <w:color w:val="auto"/>
          <w:sz w:val="24"/>
          <w:lang w:val="en-US" w:eastAsia="zh-CN"/>
        </w:rPr>
        <w:t>。</w:t>
      </w:r>
      <w:r>
        <w:rPr>
          <w:rFonts w:hint="eastAsia" w:ascii="宋体" w:hAnsi="宋体" w:eastAsia="宋体" w:cs="宋体"/>
          <w:color w:val="auto"/>
          <w:sz w:val="24"/>
          <w:lang w:val="en-US"/>
        </w:rPr>
        <w:t>软件自身错误类问题提供永久性免费修改服务</w:t>
      </w:r>
      <w:r>
        <w:rPr>
          <w:rFonts w:hint="eastAsia" w:ascii="宋体" w:hAnsi="宋体" w:eastAsia="宋体" w:cs="宋体"/>
          <w:color w:val="auto"/>
          <w:sz w:val="24"/>
          <w:lang w:val="en-US" w:eastAsia="zh-CN"/>
        </w:rPr>
        <w:t>。</w:t>
      </w:r>
    </w:p>
    <w:p>
      <w:pPr>
        <w:pStyle w:val="5"/>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rPr>
      </w:pPr>
      <w:r>
        <w:rPr>
          <w:rFonts w:hint="eastAsia" w:ascii="宋体" w:hAnsi="宋体" w:eastAsia="宋体" w:cs="宋体"/>
          <w:color w:val="auto"/>
          <w:sz w:val="24"/>
          <w:lang w:val="en-US"/>
        </w:rPr>
        <w:t>3.5免费提供医院新增业务信息系统的对接、免费实现医院上级管理部门要求的系统接口对接要求。</w:t>
      </w:r>
    </w:p>
    <w:p>
      <w:pPr>
        <w:pStyle w:val="5"/>
        <w:pageBreakBefore w:val="0"/>
        <w:widowControl w:val="0"/>
        <w:kinsoku/>
        <w:wordWrap/>
        <w:overflowPunct/>
        <w:topLinePunct w:val="0"/>
        <w:autoSpaceDE/>
        <w:autoSpaceDN/>
        <w:bidi w:val="0"/>
        <w:adjustRightInd/>
        <w:snapToGrid/>
        <w:spacing w:after="0" w:line="312" w:lineRule="auto"/>
        <w:ind w:firstLine="42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3.6接口使用范围在网络互联互通的情况下满足多院区、集团内使用。</w:t>
      </w:r>
      <w:bookmarkStart w:id="4" w:name="_GoBack"/>
      <w:bookmarkEnd w:id="4"/>
    </w:p>
    <w:p>
      <w:pPr>
        <w:pStyle w:val="4"/>
        <w:pageBreakBefore w:val="0"/>
        <w:widowControl w:val="0"/>
        <w:numPr>
          <w:ilvl w:val="0"/>
          <w:numId w:val="0"/>
        </w:numPr>
        <w:kinsoku/>
        <w:wordWrap/>
        <w:overflowPunct/>
        <w:topLinePunct w:val="0"/>
        <w:autoSpaceDE/>
        <w:autoSpaceDN/>
        <w:bidi w:val="0"/>
        <w:adjustRightInd/>
        <w:snapToGrid/>
        <w:spacing w:before="0" w:after="0" w:line="312" w:lineRule="auto"/>
        <w:textAlignment w:val="auto"/>
        <w:rPr>
          <w:rFonts w:ascii="宋体" w:hAnsi="宋体"/>
          <w:bCs w:val="0"/>
          <w:sz w:val="32"/>
          <w:szCs w:val="32"/>
        </w:rPr>
      </w:pPr>
      <w:r>
        <w:rPr>
          <w:rFonts w:hint="eastAsia" w:ascii="宋体" w:hAnsi="宋体"/>
          <w:bCs w:val="0"/>
          <w:sz w:val="32"/>
          <w:szCs w:val="32"/>
        </w:rPr>
        <w:t>四、项目实施要求</w:t>
      </w:r>
    </w:p>
    <w:p>
      <w:pPr>
        <w:pStyle w:val="5"/>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rPr>
      </w:pPr>
      <w:r>
        <w:rPr>
          <w:rFonts w:hint="eastAsia" w:ascii="宋体" w:hAnsi="宋体" w:eastAsia="宋体" w:cs="宋体"/>
          <w:color w:val="auto"/>
          <w:sz w:val="24"/>
          <w:lang w:val="en-US"/>
        </w:rPr>
        <w:t>4.1驻场、实施工期要求：合同签订后，7个工作日内项目实施人员必须进场</w:t>
      </w:r>
      <w:r>
        <w:rPr>
          <w:rFonts w:hint="eastAsia" w:ascii="宋体" w:hAnsi="宋体" w:eastAsia="宋体" w:cs="宋体"/>
          <w:color w:val="auto"/>
          <w:sz w:val="24"/>
          <w:lang w:val="en-US" w:eastAsia="zh-CN"/>
        </w:rPr>
        <w:t>，系统需在</w:t>
      </w:r>
      <w:r>
        <w:rPr>
          <w:rFonts w:hint="eastAsia" w:ascii="宋体" w:hAnsi="宋体" w:eastAsia="宋体" w:cs="宋体"/>
          <w:color w:val="auto"/>
          <w:sz w:val="24"/>
          <w:highlight w:val="yellow"/>
          <w:lang w:val="en-US" w:eastAsia="zh-CN"/>
        </w:rPr>
        <w:t>1</w:t>
      </w:r>
      <w:r>
        <w:rPr>
          <w:rFonts w:hint="eastAsia" w:ascii="宋体" w:hAnsi="宋体" w:eastAsia="宋体" w:cs="宋体"/>
          <w:color w:val="auto"/>
          <w:sz w:val="24"/>
          <w:lang w:val="en-US"/>
        </w:rPr>
        <w:t>个月内完成项目实施上线</w:t>
      </w:r>
      <w:r>
        <w:rPr>
          <w:rFonts w:hint="eastAsia" w:ascii="宋体" w:hAnsi="宋体" w:eastAsia="宋体" w:cs="宋体"/>
          <w:color w:val="auto"/>
          <w:sz w:val="24"/>
          <w:lang w:val="en-US" w:eastAsia="zh-CN"/>
        </w:rPr>
        <w:t>，请分别列出每个系统实施的工作计划及周期</w:t>
      </w:r>
      <w:r>
        <w:rPr>
          <w:rFonts w:hint="eastAsia" w:ascii="宋体" w:hAnsi="宋体" w:eastAsia="宋体" w:cs="宋体"/>
          <w:color w:val="auto"/>
          <w:sz w:val="24"/>
          <w:lang w:val="en-US"/>
        </w:rPr>
        <w:t>。</w:t>
      </w:r>
    </w:p>
    <w:p>
      <w:pPr>
        <w:pStyle w:val="5"/>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rPr>
      </w:pPr>
      <w:r>
        <w:rPr>
          <w:rFonts w:hint="eastAsia" w:ascii="宋体" w:hAnsi="宋体" w:eastAsia="宋体" w:cs="宋体"/>
          <w:color w:val="auto"/>
          <w:sz w:val="24"/>
          <w:lang w:val="en-US"/>
        </w:rPr>
        <w:t>4.2</w:t>
      </w:r>
      <w:r>
        <w:rPr>
          <w:rFonts w:hint="eastAsia" w:ascii="宋体" w:hAnsi="宋体" w:eastAsia="宋体" w:cs="宋体"/>
          <w:color w:val="auto"/>
          <w:sz w:val="24"/>
          <w:lang w:val="en-US" w:eastAsia="zh-CN"/>
        </w:rPr>
        <w:t>驻场</w:t>
      </w:r>
      <w:r>
        <w:rPr>
          <w:rFonts w:hint="eastAsia" w:ascii="宋体" w:hAnsi="宋体" w:eastAsia="宋体" w:cs="宋体"/>
          <w:color w:val="auto"/>
          <w:sz w:val="24"/>
          <w:lang w:val="en-US"/>
        </w:rPr>
        <w:t>人员要求：</w:t>
      </w:r>
    </w:p>
    <w:p>
      <w:pPr>
        <w:pStyle w:val="5"/>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实施工程师：</w:t>
      </w:r>
      <w:r>
        <w:rPr>
          <w:rFonts w:hint="eastAsia" w:ascii="宋体" w:hAnsi="宋体" w:eastAsia="宋体" w:cs="宋体"/>
          <w:color w:val="auto"/>
          <w:sz w:val="24"/>
          <w:lang w:val="en-US"/>
        </w:rPr>
        <w:t>项目驻场实施</w:t>
      </w:r>
      <w:r>
        <w:rPr>
          <w:rFonts w:hint="eastAsia" w:ascii="宋体" w:hAnsi="宋体" w:eastAsia="宋体" w:cs="宋体"/>
          <w:color w:val="auto"/>
          <w:sz w:val="24"/>
          <w:lang w:val="en-US" w:eastAsia="zh-CN"/>
        </w:rPr>
        <w:t>工程师</w:t>
      </w:r>
      <w:r>
        <w:rPr>
          <w:rFonts w:hint="eastAsia" w:ascii="宋体" w:hAnsi="宋体" w:eastAsia="宋体" w:cs="宋体"/>
          <w:color w:val="auto"/>
          <w:sz w:val="24"/>
          <w:lang w:val="en-US"/>
        </w:rPr>
        <w:t>需有2年以上</w:t>
      </w:r>
      <w:r>
        <w:rPr>
          <w:rFonts w:hint="eastAsia" w:ascii="宋体" w:hAnsi="宋体" w:eastAsia="宋体" w:cs="宋体"/>
          <w:color w:val="auto"/>
          <w:sz w:val="24"/>
          <w:lang w:val="en-US" w:eastAsia="zh-CN"/>
        </w:rPr>
        <w:t>本厂商</w:t>
      </w:r>
      <w:r>
        <w:rPr>
          <w:rFonts w:hint="eastAsia" w:ascii="宋体" w:hAnsi="宋体" w:eastAsia="宋体" w:cs="宋体"/>
          <w:color w:val="auto"/>
          <w:sz w:val="24"/>
          <w:lang w:val="en-US"/>
        </w:rPr>
        <w:t>同等项目实施经验</w:t>
      </w:r>
      <w:r>
        <w:rPr>
          <w:rFonts w:hint="eastAsia" w:ascii="宋体" w:hAnsi="宋体" w:eastAsia="宋体" w:cs="宋体"/>
          <w:color w:val="auto"/>
          <w:sz w:val="24"/>
          <w:lang w:val="en-US" w:eastAsia="zh-CN"/>
        </w:rPr>
        <w:t>。</w:t>
      </w:r>
      <w:r>
        <w:rPr>
          <w:rFonts w:hint="eastAsia" w:ascii="宋体" w:hAnsi="宋体" w:eastAsia="宋体" w:cs="宋体"/>
          <w:color w:val="auto"/>
          <w:sz w:val="24"/>
          <w:lang w:val="en-US"/>
        </w:rPr>
        <w:t>项目实施</w:t>
      </w:r>
      <w:r>
        <w:rPr>
          <w:rFonts w:hint="eastAsia" w:ascii="宋体" w:hAnsi="宋体" w:eastAsia="宋体" w:cs="宋体"/>
          <w:color w:val="auto"/>
          <w:sz w:val="24"/>
          <w:lang w:val="en-US" w:eastAsia="zh-CN"/>
        </w:rPr>
        <w:t>阶段</w:t>
      </w:r>
      <w:r>
        <w:rPr>
          <w:rFonts w:hint="eastAsia" w:ascii="宋体" w:hAnsi="宋体" w:eastAsia="宋体" w:cs="宋体"/>
          <w:color w:val="auto"/>
          <w:sz w:val="24"/>
          <w:lang w:val="en-US"/>
        </w:rPr>
        <w:t>，</w:t>
      </w:r>
      <w:r>
        <w:rPr>
          <w:rFonts w:hint="eastAsia" w:ascii="宋体" w:hAnsi="宋体" w:eastAsia="宋体" w:cs="宋体"/>
          <w:color w:val="auto"/>
          <w:sz w:val="24"/>
          <w:lang w:val="en-US" w:eastAsia="zh-CN"/>
        </w:rPr>
        <w:t>可以通过医院的VPN进行远程实施，如必须实施人员到场的情况，必须立刻响应。</w:t>
      </w:r>
    </w:p>
    <w:p>
      <w:pPr>
        <w:pStyle w:val="5"/>
        <w:pageBreakBefore w:val="0"/>
        <w:widowControl w:val="0"/>
        <w:kinsoku/>
        <w:wordWrap/>
        <w:overflowPunct/>
        <w:topLinePunct w:val="0"/>
        <w:autoSpaceDE/>
        <w:autoSpaceDN/>
        <w:bidi w:val="0"/>
        <w:adjustRightInd/>
        <w:snapToGrid/>
        <w:spacing w:after="0" w:line="312" w:lineRule="auto"/>
        <w:ind w:firstLine="42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开发工程师：</w:t>
      </w:r>
      <w:r>
        <w:rPr>
          <w:rFonts w:hint="eastAsia" w:ascii="宋体" w:hAnsi="宋体" w:eastAsia="宋体" w:cs="宋体"/>
          <w:color w:val="auto"/>
          <w:sz w:val="24"/>
          <w:lang w:val="en-US"/>
        </w:rPr>
        <w:t>项目</w:t>
      </w:r>
      <w:r>
        <w:rPr>
          <w:rFonts w:hint="eastAsia" w:ascii="宋体" w:hAnsi="宋体" w:eastAsia="宋体" w:cs="宋体"/>
          <w:color w:val="auto"/>
          <w:sz w:val="24"/>
          <w:lang w:val="en-US" w:eastAsia="zh-CN"/>
        </w:rPr>
        <w:t>驻场</w:t>
      </w:r>
      <w:r>
        <w:rPr>
          <w:rFonts w:hint="eastAsia" w:ascii="宋体" w:hAnsi="宋体" w:eastAsia="宋体" w:cs="宋体"/>
          <w:color w:val="auto"/>
          <w:sz w:val="24"/>
          <w:lang w:val="en-US"/>
        </w:rPr>
        <w:t>开发工程师需有</w:t>
      </w:r>
      <w:r>
        <w:rPr>
          <w:rFonts w:hint="eastAsia" w:ascii="宋体" w:hAnsi="宋体" w:eastAsia="宋体" w:cs="宋体"/>
          <w:color w:val="auto"/>
          <w:sz w:val="24"/>
          <w:lang w:val="en-US" w:eastAsia="zh-CN"/>
        </w:rPr>
        <w:t>2</w:t>
      </w:r>
      <w:r>
        <w:rPr>
          <w:rFonts w:hint="eastAsia" w:ascii="宋体" w:hAnsi="宋体" w:eastAsia="宋体" w:cs="宋体"/>
          <w:color w:val="auto"/>
          <w:sz w:val="24"/>
          <w:lang w:val="en-US"/>
        </w:rPr>
        <w:t>年以上</w:t>
      </w:r>
      <w:r>
        <w:rPr>
          <w:rFonts w:hint="eastAsia" w:ascii="宋体" w:hAnsi="宋体" w:eastAsia="宋体" w:cs="宋体"/>
          <w:color w:val="auto"/>
          <w:sz w:val="24"/>
          <w:lang w:val="en-US" w:eastAsia="zh-CN"/>
        </w:rPr>
        <w:t>本厂商</w:t>
      </w:r>
      <w:r>
        <w:rPr>
          <w:rFonts w:hint="eastAsia" w:ascii="宋体" w:hAnsi="宋体" w:eastAsia="宋体" w:cs="宋体"/>
          <w:color w:val="auto"/>
          <w:sz w:val="24"/>
          <w:lang w:val="en-US"/>
        </w:rPr>
        <w:t>同类型项目开发经验</w:t>
      </w:r>
      <w:r>
        <w:rPr>
          <w:rFonts w:hint="eastAsia" w:ascii="宋体" w:hAnsi="宋体" w:eastAsia="宋体" w:cs="宋体"/>
          <w:color w:val="auto"/>
          <w:sz w:val="24"/>
          <w:lang w:val="en-US" w:eastAsia="zh-CN"/>
        </w:rPr>
        <w:t>。</w:t>
      </w:r>
      <w:r>
        <w:rPr>
          <w:rFonts w:hint="eastAsia" w:ascii="宋体" w:hAnsi="宋体" w:eastAsia="宋体" w:cs="宋体"/>
          <w:color w:val="auto"/>
          <w:sz w:val="24"/>
          <w:lang w:val="en-US"/>
        </w:rPr>
        <w:t>项目实施</w:t>
      </w:r>
      <w:r>
        <w:rPr>
          <w:rFonts w:hint="eastAsia" w:ascii="宋体" w:hAnsi="宋体" w:eastAsia="宋体" w:cs="宋体"/>
          <w:color w:val="auto"/>
          <w:sz w:val="24"/>
          <w:lang w:val="en-US" w:eastAsia="zh-CN"/>
        </w:rPr>
        <w:t>和上线阶段</w:t>
      </w:r>
      <w:r>
        <w:rPr>
          <w:rFonts w:hint="eastAsia" w:ascii="宋体" w:hAnsi="宋体" w:eastAsia="宋体" w:cs="宋体"/>
          <w:color w:val="auto"/>
          <w:sz w:val="24"/>
          <w:lang w:val="en-US"/>
        </w:rPr>
        <w:t>，</w:t>
      </w:r>
      <w:r>
        <w:rPr>
          <w:rFonts w:hint="eastAsia" w:ascii="宋体" w:hAnsi="宋体" w:eastAsia="宋体" w:cs="宋体"/>
          <w:color w:val="auto"/>
          <w:sz w:val="24"/>
          <w:lang w:val="en-US" w:eastAsia="zh-CN"/>
        </w:rPr>
        <w:t>开发工程师可以通过远程，协助实施工程师进行项目工作。</w:t>
      </w:r>
    </w:p>
    <w:p>
      <w:pPr>
        <w:pStyle w:val="5"/>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rPr>
        <w:t>如需更换</w:t>
      </w:r>
      <w:r>
        <w:rPr>
          <w:rFonts w:hint="eastAsia" w:ascii="宋体" w:hAnsi="宋体" w:eastAsia="宋体" w:cs="宋体"/>
          <w:color w:val="auto"/>
          <w:sz w:val="24"/>
          <w:lang w:val="en-US" w:eastAsia="zh-CN"/>
        </w:rPr>
        <w:t>开发工程师、实施工程师</w:t>
      </w:r>
      <w:r>
        <w:rPr>
          <w:rFonts w:hint="eastAsia" w:ascii="宋体" w:hAnsi="宋体" w:eastAsia="宋体" w:cs="宋体"/>
          <w:color w:val="auto"/>
          <w:sz w:val="24"/>
          <w:lang w:val="en-US"/>
        </w:rPr>
        <w:t>，</w:t>
      </w:r>
      <w:r>
        <w:rPr>
          <w:rFonts w:hint="eastAsia" w:ascii="宋体" w:hAnsi="宋体" w:eastAsia="宋体" w:cs="宋体"/>
          <w:color w:val="auto"/>
          <w:sz w:val="24"/>
          <w:lang w:val="en-US" w:eastAsia="zh-CN"/>
        </w:rPr>
        <w:t>厂商</w:t>
      </w:r>
      <w:r>
        <w:rPr>
          <w:rFonts w:hint="eastAsia" w:ascii="宋体" w:hAnsi="宋体" w:eastAsia="宋体" w:cs="宋体"/>
          <w:color w:val="auto"/>
          <w:sz w:val="24"/>
          <w:lang w:val="en-US"/>
        </w:rPr>
        <w:t>需提交书面申请，经院方同意才可更换。</w:t>
      </w:r>
    </w:p>
    <w:p>
      <w:pPr>
        <w:pStyle w:val="5"/>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竞标文件中需提供软件提供商项目驻场人员清单含项目开发和项目实施人员，清单中标明驻场人员详细信息，如姓名、联系方式、技术职称、社保证明不少于半年等。</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4.3</w:t>
      </w:r>
      <w:r>
        <w:rPr>
          <w:rFonts w:hint="eastAsia" w:ascii="宋体" w:hAnsi="宋体" w:eastAsia="宋体" w:cs="宋体"/>
          <w:color w:val="auto"/>
          <w:sz w:val="24"/>
          <w:szCs w:val="24"/>
        </w:rPr>
        <w:t>因厂商与院方存在对需求理解有差异的可能性，要求所有软件功能需求的响应以院方意见为准</w:t>
      </w:r>
      <w:r>
        <w:rPr>
          <w:rFonts w:hint="eastAsia" w:ascii="宋体" w:hAnsi="宋体" w:eastAsia="宋体" w:cs="宋体"/>
          <w:color w:val="auto"/>
          <w:sz w:val="24"/>
          <w:szCs w:val="24"/>
          <w:lang w:eastAsia="zh-CN"/>
        </w:rPr>
        <w:t>。</w:t>
      </w:r>
    </w:p>
    <w:p>
      <w:pPr>
        <w:pStyle w:val="5"/>
        <w:pageBreakBefore w:val="0"/>
        <w:widowControl w:val="0"/>
        <w:kinsoku/>
        <w:wordWrap/>
        <w:overflowPunct/>
        <w:topLinePunct w:val="0"/>
        <w:autoSpaceDE/>
        <w:autoSpaceDN/>
        <w:bidi w:val="0"/>
        <w:adjustRightInd/>
        <w:snapToGrid/>
        <w:spacing w:after="0" w:line="312" w:lineRule="auto"/>
        <w:textAlignment w:val="auto"/>
        <w:rPr>
          <w:lang w:val="en-US"/>
        </w:rPr>
      </w:pPr>
    </w:p>
    <w:p>
      <w:pPr>
        <w:pStyle w:val="4"/>
        <w:pageBreakBefore w:val="0"/>
        <w:widowControl w:val="0"/>
        <w:numPr>
          <w:ilvl w:val="0"/>
          <w:numId w:val="0"/>
        </w:numPr>
        <w:kinsoku/>
        <w:wordWrap/>
        <w:overflowPunct/>
        <w:topLinePunct w:val="0"/>
        <w:autoSpaceDE/>
        <w:autoSpaceDN/>
        <w:bidi w:val="0"/>
        <w:adjustRightInd/>
        <w:snapToGrid/>
        <w:spacing w:before="0" w:after="0" w:line="312" w:lineRule="auto"/>
        <w:textAlignment w:val="auto"/>
        <w:rPr>
          <w:rFonts w:ascii="宋体" w:hAnsi="宋体"/>
          <w:bCs w:val="0"/>
          <w:sz w:val="32"/>
          <w:szCs w:val="32"/>
        </w:rPr>
      </w:pPr>
      <w:r>
        <w:rPr>
          <w:rFonts w:hint="eastAsia" w:ascii="宋体" w:hAnsi="宋体"/>
          <w:bCs w:val="0"/>
          <w:sz w:val="32"/>
          <w:szCs w:val="32"/>
        </w:rPr>
        <w:t>五、</w:t>
      </w:r>
      <w:r>
        <w:rPr>
          <w:rFonts w:hint="eastAsia" w:ascii="宋体" w:hAnsi="宋体"/>
          <w:bCs w:val="0"/>
          <w:sz w:val="32"/>
          <w:szCs w:val="32"/>
          <w:lang w:eastAsia="zh-CN"/>
        </w:rPr>
        <w:t>售后</w:t>
      </w:r>
      <w:r>
        <w:rPr>
          <w:rFonts w:hint="eastAsia" w:ascii="宋体" w:hAnsi="宋体"/>
          <w:bCs w:val="0"/>
          <w:sz w:val="32"/>
          <w:szCs w:val="32"/>
        </w:rPr>
        <w:t>服务及其他要求</w:t>
      </w:r>
    </w:p>
    <w:p>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sz w:val="24"/>
          <w:szCs w:val="24"/>
        </w:rPr>
      </w:pPr>
      <w:r>
        <w:rPr>
          <w:rFonts w:hint="eastAsia" w:ascii="宋体" w:hAnsi="宋体" w:cs="宋体"/>
          <w:sz w:val="24"/>
          <w:szCs w:val="24"/>
        </w:rPr>
        <w:t>5.1自本项目整体最终验收之日起，所有产品要求提供</w:t>
      </w:r>
      <w:r>
        <w:rPr>
          <w:rFonts w:hint="eastAsia" w:ascii="宋体" w:hAnsi="宋体" w:cs="宋体"/>
          <w:color w:val="FF0000"/>
          <w:sz w:val="24"/>
          <w:szCs w:val="24"/>
        </w:rPr>
        <w:t>三年</w:t>
      </w:r>
      <w:r>
        <w:rPr>
          <w:rFonts w:hint="eastAsia" w:ascii="宋体" w:hAnsi="宋体" w:cs="宋体"/>
          <w:sz w:val="24"/>
          <w:szCs w:val="24"/>
        </w:rPr>
        <w:t>的免费</w:t>
      </w:r>
      <w:r>
        <w:rPr>
          <w:rFonts w:hint="eastAsia" w:ascii="宋体" w:hAnsi="宋体" w:cs="宋体"/>
          <w:sz w:val="24"/>
          <w:szCs w:val="24"/>
          <w:lang w:eastAsia="zh-CN"/>
        </w:rPr>
        <w:t>质</w:t>
      </w:r>
      <w:r>
        <w:rPr>
          <w:rFonts w:hint="eastAsia" w:ascii="宋体" w:hAnsi="宋体" w:cs="宋体"/>
          <w:sz w:val="24"/>
          <w:szCs w:val="24"/>
        </w:rPr>
        <w:t>保服务。含软硬件维护和系统软件升级、技术支持服务、系统管理及操作培训，免费提供系统个性化修改需求。请详细说明售后服务的内容。</w:t>
      </w:r>
    </w:p>
    <w:p>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sz w:val="24"/>
          <w:szCs w:val="24"/>
        </w:rPr>
      </w:pPr>
      <w:r>
        <w:rPr>
          <w:rFonts w:hint="eastAsia" w:ascii="宋体" w:hAnsi="宋体" w:cs="宋体"/>
          <w:sz w:val="24"/>
          <w:szCs w:val="24"/>
        </w:rPr>
        <w:t>5.2安装调试要求：免费送货上门、安装调试、提供完善的设备及软件系统使用中文操作手册、图纸、网络详细拓扑图、系统配置、功能配置、设备配置及互联记录</w:t>
      </w:r>
      <w:r>
        <w:rPr>
          <w:rFonts w:hint="eastAsia" w:ascii="宋体" w:hAnsi="宋体" w:cs="宋体"/>
          <w:sz w:val="24"/>
          <w:szCs w:val="24"/>
          <w:lang w:eastAsia="zh-CN"/>
        </w:rPr>
        <w:t>。</w:t>
      </w:r>
    </w:p>
    <w:p>
      <w:pPr>
        <w:pageBreakBefore w:val="0"/>
        <w:widowControl w:val="0"/>
        <w:kinsoku/>
        <w:wordWrap/>
        <w:overflowPunct/>
        <w:topLinePunct w:val="0"/>
        <w:autoSpaceDE/>
        <w:autoSpaceDN/>
        <w:bidi w:val="0"/>
        <w:adjustRightInd/>
        <w:snapToGrid/>
        <w:spacing w:line="312" w:lineRule="auto"/>
        <w:ind w:firstLine="420"/>
        <w:jc w:val="left"/>
        <w:textAlignment w:val="auto"/>
        <w:rPr>
          <w:rFonts w:ascii="宋体" w:hAnsi="宋体" w:cs="宋体"/>
          <w:sz w:val="24"/>
          <w:szCs w:val="24"/>
        </w:rPr>
      </w:pPr>
      <w:r>
        <w:rPr>
          <w:rFonts w:hint="eastAsia" w:ascii="宋体" w:hAnsi="宋体" w:cs="宋体"/>
          <w:sz w:val="24"/>
          <w:szCs w:val="24"/>
        </w:rPr>
        <w:t>5.3原厂技术人员免费提供</w:t>
      </w:r>
      <w:r>
        <w:rPr>
          <w:rFonts w:hint="eastAsia" w:ascii="宋体" w:hAnsi="宋体" w:cs="宋体"/>
          <w:sz w:val="24"/>
          <w:szCs w:val="24"/>
          <w:lang w:eastAsia="zh-CN"/>
        </w:rPr>
        <w:t>售后</w:t>
      </w:r>
      <w:r>
        <w:rPr>
          <w:rFonts w:hint="eastAsia" w:ascii="宋体" w:hAnsi="宋体" w:cs="宋体"/>
          <w:sz w:val="24"/>
          <w:szCs w:val="24"/>
        </w:rPr>
        <w:t>服务，含电话支持、现场响应、远程操作、网上客服中心等多种方式服务，应做到7×24小时全天候电话或微信等常用联系方式响应。</w:t>
      </w:r>
      <w:bookmarkStart w:id="1" w:name="_Toc507405798"/>
      <w:r>
        <w:rPr>
          <w:rFonts w:hint="eastAsia" w:ascii="宋体" w:hAnsi="宋体" w:cs="宋体"/>
          <w:sz w:val="24"/>
          <w:szCs w:val="24"/>
        </w:rPr>
        <w:t>当出现故障时，接到故障通知后，原厂技术人员应在30分钟内响应，远程技术支持无法解决的，6小时内需到达现场处理修复，并调查分析事故原因</w:t>
      </w:r>
      <w:r>
        <w:rPr>
          <w:rFonts w:hint="eastAsia" w:ascii="宋体" w:hAnsi="宋体" w:cs="宋体"/>
          <w:sz w:val="24"/>
          <w:szCs w:val="24"/>
          <w:lang w:eastAsia="zh-CN"/>
        </w:rPr>
        <w:t>。</w:t>
      </w:r>
      <w:r>
        <w:rPr>
          <w:rFonts w:hint="eastAsia" w:ascii="宋体" w:hAnsi="宋体" w:eastAsia="宋体" w:cs="微软雅黑"/>
          <w:sz w:val="24"/>
          <w:szCs w:val="24"/>
        </w:rPr>
        <w:t>5.4</w:t>
      </w:r>
      <w:r>
        <w:rPr>
          <w:rFonts w:hint="eastAsia" w:ascii="宋体" w:hAnsi="宋体" w:cs="宋体"/>
          <w:sz w:val="24"/>
          <w:szCs w:val="24"/>
        </w:rPr>
        <w:t>供应商提供原厂技术人员定期回访服务，定期通过电话或其他方式访问用户，了解产品使用情况及网络安全情况，须在每季度第一个月进行一次现场巡检，并形成书面巡检服务报告，加盖有效公章并反馈给我院要求提供巡检报告模板，内容涉及此项目相关设备的运行情况及现场巡检照片。</w:t>
      </w:r>
    </w:p>
    <w:p>
      <w:pPr>
        <w:pStyle w:val="5"/>
        <w:pageBreakBefore w:val="0"/>
        <w:widowControl w:val="0"/>
        <w:kinsoku/>
        <w:wordWrap/>
        <w:overflowPunct/>
        <w:topLinePunct w:val="0"/>
        <w:autoSpaceDE/>
        <w:autoSpaceDN/>
        <w:bidi w:val="0"/>
        <w:adjustRightInd/>
        <w:snapToGrid/>
        <w:spacing w:after="0" w:line="312" w:lineRule="auto"/>
        <w:textAlignment w:val="auto"/>
        <w:rPr>
          <w:rFonts w:ascii="宋体" w:hAnsi="宋体" w:eastAsia="宋体" w:cs="宋体"/>
          <w:b/>
          <w:bCs/>
          <w:color w:val="auto"/>
          <w:sz w:val="28"/>
          <w:lang w:val="en-US"/>
        </w:rPr>
      </w:pPr>
      <w:r>
        <w:rPr>
          <w:rFonts w:hint="eastAsia" w:ascii="宋体" w:hAnsi="宋体" w:eastAsia="宋体" w:cs="宋体"/>
          <w:b/>
          <w:bCs/>
          <w:color w:val="auto"/>
          <w:sz w:val="28"/>
          <w:lang w:val="en-US"/>
        </w:rPr>
        <w:t>六、违约责任</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ascii="宋体" w:hAnsi="宋体" w:eastAsia="宋体" w:cs="宋体"/>
          <w:color w:val="auto"/>
          <w:sz w:val="24"/>
          <w:szCs w:val="24"/>
        </w:rPr>
      </w:pPr>
      <w:r>
        <w:rPr>
          <w:rFonts w:hint="eastAsia" w:ascii="宋体" w:hAnsi="宋体" w:eastAsia="宋体" w:cs="宋体"/>
          <w:color w:val="auto"/>
          <w:sz w:val="24"/>
          <w:szCs w:val="24"/>
        </w:rPr>
        <w:t>6.1投标方所提供的</w:t>
      </w:r>
      <w:r>
        <w:rPr>
          <w:rFonts w:hint="eastAsia" w:ascii="宋体" w:hAnsi="宋体" w:eastAsia="宋体" w:cs="宋体"/>
          <w:color w:val="FF0000"/>
          <w:sz w:val="24"/>
          <w:szCs w:val="24"/>
          <w:lang w:val="en-US" w:eastAsia="zh-CN"/>
        </w:rPr>
        <w:t>软件</w:t>
      </w:r>
      <w:r>
        <w:rPr>
          <w:rFonts w:hint="eastAsia" w:ascii="宋体" w:hAnsi="宋体" w:eastAsia="宋体" w:cs="宋体"/>
          <w:color w:val="auto"/>
          <w:sz w:val="24"/>
          <w:szCs w:val="24"/>
        </w:rPr>
        <w:t>规格、技术标准等不合格的，应及时更换，更换不及时的按逾期</w:t>
      </w:r>
      <w:r>
        <w:rPr>
          <w:rFonts w:hint="eastAsia" w:ascii="宋体" w:hAnsi="宋体" w:eastAsia="宋体" w:cs="宋体"/>
          <w:color w:val="FF0000"/>
          <w:sz w:val="24"/>
          <w:szCs w:val="24"/>
          <w:lang w:val="en-US" w:eastAsia="zh-CN"/>
        </w:rPr>
        <w:t>交付</w:t>
      </w:r>
      <w:r>
        <w:rPr>
          <w:rFonts w:hint="eastAsia" w:ascii="宋体" w:hAnsi="宋体" w:eastAsia="宋体" w:cs="宋体"/>
          <w:color w:val="auto"/>
          <w:sz w:val="24"/>
          <w:szCs w:val="24"/>
        </w:rPr>
        <w:t>处罚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因质量问题我院不同意接收，投标方应向我院支付违约货款额5%违约金并赔偿我院经济损失。</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eastAsia="zh-CN"/>
        </w:rPr>
        <w:t>若</w:t>
      </w:r>
      <w:r>
        <w:rPr>
          <w:rFonts w:hint="eastAsia" w:ascii="宋体" w:hAnsi="宋体" w:eastAsia="宋体" w:cs="宋体"/>
          <w:color w:val="auto"/>
          <w:sz w:val="24"/>
          <w:szCs w:val="24"/>
        </w:rPr>
        <w:t>投标方提供的</w:t>
      </w:r>
      <w:r>
        <w:rPr>
          <w:rFonts w:hint="eastAsia" w:ascii="宋体" w:hAnsi="宋体" w:eastAsia="宋体" w:cs="宋体"/>
          <w:color w:val="auto"/>
          <w:sz w:val="24"/>
          <w:szCs w:val="24"/>
          <w:lang w:eastAsia="zh-CN"/>
        </w:rPr>
        <w:t>产品或软件</w:t>
      </w:r>
      <w:r>
        <w:rPr>
          <w:rFonts w:hint="eastAsia" w:ascii="宋体" w:hAnsi="宋体" w:eastAsia="宋体" w:cs="宋体"/>
          <w:color w:val="auto"/>
          <w:sz w:val="24"/>
          <w:szCs w:val="24"/>
        </w:rPr>
        <w:t>侵犯了第三方合法权益而引发的任何纠纷或诉讼，均由投标方负责交涉并承担全部责任。</w:t>
      </w:r>
    </w:p>
    <w:p>
      <w:pPr>
        <w:pStyle w:val="5"/>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lang w:val="en-US"/>
        </w:rPr>
      </w:pPr>
      <w:r>
        <w:rPr>
          <w:rFonts w:hint="eastAsia" w:ascii="宋体" w:hAnsi="宋体" w:eastAsia="宋体" w:cs="宋体"/>
          <w:color w:val="auto"/>
          <w:sz w:val="24"/>
          <w:lang w:val="en-US"/>
        </w:rPr>
        <w:t>6.</w:t>
      </w:r>
      <w:r>
        <w:rPr>
          <w:rFonts w:hint="eastAsia" w:ascii="宋体" w:hAnsi="宋体" w:eastAsia="宋体" w:cs="宋体"/>
          <w:color w:val="auto"/>
          <w:sz w:val="24"/>
          <w:lang w:val="en-US" w:eastAsia="zh-CN"/>
        </w:rPr>
        <w:t>3</w:t>
      </w:r>
      <w:r>
        <w:rPr>
          <w:rFonts w:hint="eastAsia" w:ascii="宋体" w:hAnsi="宋体" w:eastAsia="宋体" w:cs="宋体"/>
          <w:color w:val="auto"/>
          <w:sz w:val="24"/>
        </w:rPr>
        <w:t> 投标方逾期</w:t>
      </w:r>
      <w:r>
        <w:rPr>
          <w:rFonts w:hint="eastAsia" w:ascii="宋体" w:hAnsi="宋体" w:eastAsia="宋体" w:cs="宋体"/>
          <w:color w:val="FF0000"/>
          <w:sz w:val="24"/>
          <w:lang w:val="en-US" w:eastAsia="zh-CN"/>
        </w:rPr>
        <w:t>交付</w:t>
      </w:r>
      <w:r>
        <w:rPr>
          <w:rFonts w:hint="eastAsia" w:ascii="宋体" w:hAnsi="宋体" w:eastAsia="宋体" w:cs="宋体"/>
          <w:color w:val="auto"/>
          <w:sz w:val="24"/>
        </w:rPr>
        <w:t>的，每天向</w:t>
      </w:r>
      <w:r>
        <w:rPr>
          <w:rFonts w:hint="eastAsia" w:ascii="宋体" w:hAnsi="宋体" w:eastAsia="宋体" w:cs="宋体"/>
          <w:color w:val="auto"/>
          <w:sz w:val="24"/>
          <w:lang w:eastAsia="zh-CN"/>
        </w:rPr>
        <w:t>甲方</w:t>
      </w:r>
      <w:r>
        <w:rPr>
          <w:rFonts w:hint="eastAsia" w:ascii="宋体" w:hAnsi="宋体" w:eastAsia="宋体" w:cs="宋体"/>
          <w:color w:val="auto"/>
          <w:sz w:val="24"/>
        </w:rPr>
        <w:t>偿付违约货款额3‰违约金，但违约金累计不得超过违约货款额 5% ，超过30天对方有权解除合同，违约方承担因此给对方造成的经济损失</w:t>
      </w:r>
      <w:r>
        <w:rPr>
          <w:rFonts w:hint="eastAsia" w:ascii="宋体" w:hAnsi="宋体" w:eastAsia="宋体" w:cs="宋体"/>
          <w:color w:val="auto"/>
          <w:sz w:val="24"/>
          <w:lang w:eastAsia="zh-CN"/>
        </w:rPr>
        <w:t>。</w:t>
      </w:r>
    </w:p>
    <w:p>
      <w:pPr>
        <w:pStyle w:val="5"/>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rPr>
        <w:t>6.</w:t>
      </w:r>
      <w:r>
        <w:rPr>
          <w:rFonts w:hint="eastAsia" w:ascii="宋体" w:hAnsi="宋体" w:eastAsia="宋体" w:cs="宋体"/>
          <w:color w:val="auto"/>
          <w:sz w:val="24"/>
          <w:lang w:val="en-US" w:eastAsia="zh-CN"/>
        </w:rPr>
        <w:t>4</w:t>
      </w:r>
      <w:r>
        <w:rPr>
          <w:rFonts w:hint="eastAsia" w:ascii="宋体" w:hAnsi="宋体" w:eastAsia="宋体" w:cs="宋体"/>
          <w:color w:val="auto"/>
          <w:sz w:val="24"/>
          <w:lang w:val="en-US"/>
        </w:rPr>
        <w:t>售后服务违约</w:t>
      </w:r>
      <w:r>
        <w:rPr>
          <w:rFonts w:hint="eastAsia" w:ascii="宋体" w:hAnsi="宋体" w:eastAsia="宋体" w:cs="宋体"/>
          <w:color w:val="auto"/>
          <w:sz w:val="24"/>
          <w:lang w:val="en-US" w:eastAsia="zh-CN"/>
        </w:rPr>
        <w:t>：</w:t>
      </w:r>
    </w:p>
    <w:p>
      <w:pPr>
        <w:pStyle w:val="5"/>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lang w:val="en-US"/>
        </w:rPr>
      </w:pPr>
      <w:r>
        <w:rPr>
          <w:rFonts w:hint="eastAsia" w:ascii="宋体" w:hAnsi="宋体" w:eastAsia="宋体" w:cs="宋体"/>
          <w:color w:val="auto"/>
          <w:sz w:val="24"/>
          <w:lang w:val="en-US"/>
        </w:rPr>
        <w:t>6.</w:t>
      </w:r>
      <w:r>
        <w:rPr>
          <w:rFonts w:hint="eastAsia" w:ascii="宋体" w:hAnsi="宋体" w:eastAsia="宋体" w:cs="宋体"/>
          <w:color w:val="auto"/>
          <w:sz w:val="24"/>
          <w:lang w:val="en-US" w:eastAsia="zh-CN"/>
        </w:rPr>
        <w:t>4</w:t>
      </w:r>
      <w:r>
        <w:rPr>
          <w:rFonts w:hint="eastAsia" w:ascii="宋体" w:hAnsi="宋体" w:eastAsia="宋体" w:cs="宋体"/>
          <w:color w:val="auto"/>
          <w:sz w:val="24"/>
          <w:lang w:val="en-US"/>
        </w:rPr>
        <w:t>.1每缺少1次现场巡检记录，投标方应向</w:t>
      </w:r>
      <w:r>
        <w:rPr>
          <w:rFonts w:hint="eastAsia" w:ascii="宋体" w:hAnsi="宋体" w:eastAsia="宋体" w:cs="宋体"/>
          <w:color w:val="auto"/>
          <w:sz w:val="24"/>
          <w:lang w:val="en-US" w:eastAsia="zh-CN"/>
        </w:rPr>
        <w:t>甲方</w:t>
      </w:r>
      <w:r>
        <w:rPr>
          <w:rFonts w:hint="eastAsia" w:ascii="宋体" w:hAnsi="宋体" w:eastAsia="宋体" w:cs="宋体"/>
          <w:color w:val="auto"/>
          <w:sz w:val="24"/>
          <w:lang w:val="en-US"/>
        </w:rPr>
        <w:t>支付违约金500元</w:t>
      </w:r>
      <w:r>
        <w:rPr>
          <w:rFonts w:hint="eastAsia" w:ascii="宋体" w:hAnsi="宋体" w:eastAsia="宋体" w:cs="宋体"/>
          <w:color w:val="auto"/>
          <w:sz w:val="24"/>
          <w:lang w:val="en-US" w:eastAsia="zh-CN"/>
        </w:rPr>
        <w:t>。</w:t>
      </w:r>
    </w:p>
    <w:p>
      <w:pPr>
        <w:pStyle w:val="5"/>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lang w:val="en-US"/>
        </w:rPr>
      </w:pPr>
      <w:r>
        <w:rPr>
          <w:rFonts w:hint="eastAsia" w:ascii="宋体" w:hAnsi="宋体" w:eastAsia="宋体" w:cs="宋体"/>
          <w:color w:val="auto"/>
          <w:sz w:val="24"/>
          <w:lang w:val="en-US"/>
        </w:rPr>
        <w:t>6.</w:t>
      </w:r>
      <w:r>
        <w:rPr>
          <w:rFonts w:hint="eastAsia" w:ascii="宋体" w:hAnsi="宋体" w:eastAsia="宋体" w:cs="宋体"/>
          <w:color w:val="auto"/>
          <w:sz w:val="24"/>
          <w:lang w:val="en-US" w:eastAsia="zh-CN"/>
        </w:rPr>
        <w:t>4</w:t>
      </w:r>
      <w:r>
        <w:rPr>
          <w:rFonts w:hint="eastAsia" w:ascii="宋体" w:hAnsi="宋体" w:eastAsia="宋体" w:cs="宋体"/>
          <w:color w:val="auto"/>
          <w:sz w:val="24"/>
          <w:lang w:val="en-US"/>
        </w:rPr>
        <w:t>.</w:t>
      </w:r>
      <w:r>
        <w:rPr>
          <w:rFonts w:hint="eastAsia" w:ascii="宋体" w:hAnsi="宋体" w:eastAsia="宋体" w:cs="宋体"/>
          <w:color w:val="auto"/>
          <w:sz w:val="24"/>
          <w:lang w:val="en-US" w:eastAsia="zh-CN"/>
        </w:rPr>
        <w:t>2</w:t>
      </w:r>
      <w:r>
        <w:rPr>
          <w:rFonts w:hint="eastAsia" w:ascii="宋体" w:hAnsi="宋体" w:eastAsia="宋体" w:cs="宋体"/>
          <w:color w:val="auto"/>
          <w:sz w:val="24"/>
          <w:lang w:val="en-US"/>
        </w:rPr>
        <w:t> 投标方未按本技术要求和响应文件中规定的其他服务承诺提供售后服务的，每次投标方应按合同合计金额的5% 向</w:t>
      </w:r>
      <w:r>
        <w:rPr>
          <w:rFonts w:hint="eastAsia" w:ascii="宋体" w:hAnsi="宋体" w:eastAsia="宋体" w:cs="宋体"/>
          <w:color w:val="auto"/>
          <w:sz w:val="24"/>
          <w:lang w:val="en-US" w:eastAsia="zh-CN"/>
        </w:rPr>
        <w:t>甲方</w:t>
      </w:r>
      <w:r>
        <w:rPr>
          <w:rFonts w:hint="eastAsia" w:ascii="宋体" w:hAnsi="宋体" w:eastAsia="宋体" w:cs="宋体"/>
          <w:color w:val="auto"/>
          <w:sz w:val="24"/>
          <w:lang w:val="en-US"/>
        </w:rPr>
        <w:t>支付违约金。</w:t>
      </w:r>
    </w:p>
    <w:p>
      <w:pPr>
        <w:pStyle w:val="5"/>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rPr>
      </w:pPr>
      <w:r>
        <w:rPr>
          <w:rFonts w:hint="eastAsia" w:ascii="宋体" w:hAnsi="宋体" w:eastAsia="宋体" w:cs="宋体"/>
          <w:color w:val="auto"/>
          <w:sz w:val="24"/>
        </w:rPr>
        <w:t>6.</w:t>
      </w:r>
      <w:r>
        <w:rPr>
          <w:rFonts w:hint="eastAsia" w:ascii="宋体" w:hAnsi="宋体" w:eastAsia="宋体" w:cs="宋体"/>
          <w:color w:val="auto"/>
          <w:sz w:val="24"/>
          <w:lang w:val="en-US" w:eastAsia="zh-CN"/>
        </w:rPr>
        <w:t>5</w:t>
      </w:r>
      <w:r>
        <w:rPr>
          <w:rFonts w:hint="eastAsia" w:ascii="宋体" w:hAnsi="宋体" w:eastAsia="宋体" w:cs="宋体"/>
          <w:color w:val="auto"/>
          <w:sz w:val="24"/>
        </w:rPr>
        <w:t>合同签订后</w:t>
      </w:r>
      <w:r>
        <w:rPr>
          <w:rFonts w:hint="eastAsia" w:ascii="宋体" w:hAnsi="宋体" w:eastAsia="宋体" w:cs="宋体"/>
          <w:color w:val="FF0000"/>
          <w:sz w:val="24"/>
        </w:rPr>
        <w:t>7个工作日</w:t>
      </w:r>
      <w:r>
        <w:rPr>
          <w:rFonts w:hint="eastAsia" w:ascii="宋体" w:hAnsi="宋体" w:eastAsia="宋体" w:cs="宋体"/>
          <w:color w:val="auto"/>
          <w:sz w:val="24"/>
        </w:rPr>
        <w:t>内进场实施，每个模块计划实施周期需在合同内写明。因</w:t>
      </w:r>
      <w:r>
        <w:rPr>
          <w:rFonts w:hint="eastAsia" w:ascii="宋体" w:hAnsi="宋体" w:eastAsia="宋体" w:cs="宋体"/>
          <w:color w:val="auto"/>
          <w:sz w:val="24"/>
          <w:lang w:eastAsia="zh-CN"/>
        </w:rPr>
        <w:t>软件提供商</w:t>
      </w:r>
      <w:r>
        <w:rPr>
          <w:rFonts w:hint="eastAsia" w:ascii="宋体" w:hAnsi="宋体" w:eastAsia="宋体" w:cs="宋体"/>
          <w:color w:val="auto"/>
          <w:sz w:val="24"/>
        </w:rPr>
        <w:t>原因逾期不进场实施的，需按每天向院方支付合同款金额3‰作为违约金</w:t>
      </w:r>
      <w:r>
        <w:rPr>
          <w:rFonts w:hint="eastAsia" w:ascii="宋体" w:hAnsi="宋体" w:eastAsia="宋体" w:cs="宋体"/>
          <w:color w:val="auto"/>
          <w:sz w:val="24"/>
          <w:lang w:eastAsia="zh-CN"/>
        </w:rPr>
        <w:t>，</w:t>
      </w:r>
      <w:r>
        <w:rPr>
          <w:rFonts w:hint="eastAsia" w:ascii="宋体" w:hAnsi="宋体" w:eastAsia="宋体" w:cs="宋体"/>
          <w:color w:val="auto"/>
          <w:sz w:val="24"/>
        </w:rPr>
        <w:t>超过30天，</w:t>
      </w:r>
      <w:r>
        <w:rPr>
          <w:rFonts w:hint="eastAsia" w:ascii="宋体" w:hAnsi="宋体" w:eastAsia="宋体" w:cs="宋体"/>
          <w:color w:val="auto"/>
          <w:sz w:val="24"/>
          <w:lang w:eastAsia="zh-CN"/>
        </w:rPr>
        <w:t>甲</w:t>
      </w:r>
      <w:r>
        <w:rPr>
          <w:rFonts w:hint="eastAsia" w:ascii="宋体" w:hAnsi="宋体" w:eastAsia="宋体" w:cs="宋体"/>
          <w:color w:val="auto"/>
          <w:sz w:val="24"/>
        </w:rPr>
        <w:t>有权解除合同，</w:t>
      </w:r>
      <w:r>
        <w:rPr>
          <w:rFonts w:hint="eastAsia" w:ascii="宋体" w:hAnsi="宋体" w:eastAsia="宋体" w:cs="宋体"/>
          <w:color w:val="auto"/>
          <w:sz w:val="24"/>
          <w:lang w:eastAsia="zh-CN"/>
        </w:rPr>
        <w:t>乙方</w:t>
      </w:r>
      <w:r>
        <w:rPr>
          <w:rFonts w:hint="eastAsia" w:ascii="宋体" w:hAnsi="宋体" w:eastAsia="宋体" w:cs="宋体"/>
          <w:color w:val="auto"/>
          <w:sz w:val="24"/>
        </w:rPr>
        <w:t>需承担因此给院方造成的经济损失</w:t>
      </w:r>
      <w:r>
        <w:rPr>
          <w:rFonts w:hint="eastAsia" w:ascii="宋体" w:hAnsi="宋体" w:eastAsia="宋体" w:cs="宋体"/>
          <w:color w:val="auto"/>
          <w:sz w:val="24"/>
          <w:lang w:eastAsia="zh-CN"/>
        </w:rPr>
        <w:t>。</w:t>
      </w:r>
      <w:r>
        <w:rPr>
          <w:rFonts w:hint="eastAsia" w:ascii="宋体" w:hAnsi="宋体" w:eastAsia="宋体" w:cs="宋体"/>
          <w:color w:val="auto"/>
          <w:sz w:val="24"/>
          <w:lang w:val="en-US"/>
        </w:rPr>
        <w:t>不能按照合同约定上线期限完成，需要书面申请说明原因，得到医院书面同意后最多延期一个月，否则或者延期一个月后按每超期7天一周从总合同金额扣除5%的违约金。扣除比例达到总合同金额的50%及以上的，视为</w:t>
      </w:r>
      <w:r>
        <w:rPr>
          <w:rFonts w:hint="eastAsia" w:ascii="宋体" w:hAnsi="宋体" w:eastAsia="宋体" w:cs="宋体"/>
          <w:color w:val="auto"/>
          <w:sz w:val="24"/>
          <w:lang w:val="en-US" w:eastAsia="zh-CN"/>
        </w:rPr>
        <w:t>乙方</w:t>
      </w:r>
      <w:r>
        <w:rPr>
          <w:rFonts w:hint="eastAsia" w:ascii="宋体" w:hAnsi="宋体" w:eastAsia="宋体" w:cs="宋体"/>
          <w:color w:val="auto"/>
          <w:sz w:val="24"/>
          <w:lang w:val="en-US"/>
        </w:rPr>
        <w:t>违约，</w:t>
      </w:r>
      <w:r>
        <w:rPr>
          <w:rFonts w:hint="eastAsia" w:ascii="宋体" w:hAnsi="宋体" w:eastAsia="宋体" w:cs="宋体"/>
          <w:color w:val="auto"/>
          <w:sz w:val="24"/>
          <w:lang w:val="en-US" w:eastAsia="zh-CN"/>
        </w:rPr>
        <w:t>甲方</w:t>
      </w:r>
      <w:r>
        <w:rPr>
          <w:rFonts w:hint="eastAsia" w:ascii="宋体" w:hAnsi="宋体" w:eastAsia="宋体" w:cs="宋体"/>
          <w:color w:val="auto"/>
          <w:sz w:val="24"/>
          <w:lang w:val="en-US"/>
        </w:rPr>
        <w:t>有权单方面解除合同，并要求</w:t>
      </w:r>
      <w:r>
        <w:rPr>
          <w:rFonts w:hint="eastAsia" w:ascii="宋体" w:hAnsi="宋体" w:eastAsia="宋体" w:cs="宋体"/>
          <w:color w:val="auto"/>
          <w:sz w:val="24"/>
          <w:lang w:val="en-US" w:eastAsia="zh-CN"/>
        </w:rPr>
        <w:t>乙方</w:t>
      </w:r>
      <w:r>
        <w:rPr>
          <w:rFonts w:hint="eastAsia" w:ascii="宋体" w:hAnsi="宋体" w:eastAsia="宋体" w:cs="宋体"/>
          <w:color w:val="auto"/>
          <w:sz w:val="24"/>
          <w:lang w:val="en-US"/>
        </w:rPr>
        <w:t>退回所有医院已支付款项，同时</w:t>
      </w:r>
      <w:r>
        <w:rPr>
          <w:rFonts w:hint="eastAsia" w:ascii="宋体" w:hAnsi="宋体" w:eastAsia="宋体" w:cs="宋体"/>
          <w:color w:val="auto"/>
          <w:sz w:val="24"/>
          <w:lang w:val="en-US" w:eastAsia="zh-CN"/>
        </w:rPr>
        <w:t>按</w:t>
      </w:r>
      <w:r>
        <w:rPr>
          <w:rFonts w:hint="eastAsia" w:ascii="宋体" w:hAnsi="宋体" w:eastAsia="宋体" w:cs="宋体"/>
          <w:color w:val="auto"/>
          <w:sz w:val="24"/>
          <w:lang w:val="en-US"/>
        </w:rPr>
        <w:t>合同总金额的20%做为违约金</w:t>
      </w:r>
      <w:r>
        <w:rPr>
          <w:rFonts w:hint="eastAsia" w:ascii="宋体" w:hAnsi="宋体" w:eastAsia="宋体" w:cs="宋体"/>
          <w:color w:val="auto"/>
          <w:sz w:val="24"/>
          <w:lang w:val="en-US" w:eastAsia="zh-CN"/>
        </w:rPr>
        <w:t>支付给甲方</w:t>
      </w:r>
      <w:r>
        <w:rPr>
          <w:rFonts w:hint="eastAsia" w:ascii="宋体" w:hAnsi="宋体" w:eastAsia="宋体" w:cs="宋体"/>
          <w:color w:val="auto"/>
          <w:sz w:val="24"/>
          <w:lang w:val="en-US"/>
        </w:rPr>
        <w:t>。</w:t>
      </w:r>
    </w:p>
    <w:p>
      <w:pPr>
        <w:pStyle w:val="5"/>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lang w:val="en-US"/>
        </w:rPr>
      </w:pPr>
      <w:r>
        <w:rPr>
          <w:rFonts w:hint="eastAsia" w:ascii="宋体" w:hAnsi="宋体" w:eastAsia="宋体" w:cs="宋体"/>
          <w:color w:val="auto"/>
          <w:sz w:val="24"/>
          <w:lang w:val="en-US"/>
        </w:rPr>
        <w:t>6.</w:t>
      </w:r>
      <w:r>
        <w:rPr>
          <w:rFonts w:hint="eastAsia" w:ascii="宋体" w:hAnsi="宋体" w:eastAsia="宋体" w:cs="宋体"/>
          <w:color w:val="auto"/>
          <w:sz w:val="24"/>
          <w:lang w:val="en-US" w:eastAsia="zh-CN"/>
        </w:rPr>
        <w:t>6</w:t>
      </w:r>
      <w:r>
        <w:rPr>
          <w:rFonts w:hint="eastAsia" w:ascii="宋体" w:hAnsi="宋体" w:eastAsia="宋体" w:cs="宋体"/>
          <w:color w:val="auto"/>
          <w:sz w:val="24"/>
          <w:lang w:val="en-US"/>
        </w:rPr>
        <w:t>任何一方违反本技术要求中“保密、廉洁条款”要求的，应承担相应的违约责任并赔偿由此造成的损失，损失累计金额超过合同款项的5%的，损失方同时有权终止合同并收回已付款项。</w:t>
      </w:r>
    </w:p>
    <w:p>
      <w:pPr>
        <w:pStyle w:val="5"/>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rPr>
      </w:pPr>
      <w:r>
        <w:rPr>
          <w:rFonts w:hint="eastAsia" w:ascii="宋体" w:hAnsi="宋体" w:eastAsia="宋体" w:cs="宋体"/>
          <w:color w:val="auto"/>
          <w:sz w:val="24"/>
          <w:lang w:val="en-US"/>
        </w:rPr>
        <w:t>6.</w:t>
      </w:r>
      <w:r>
        <w:rPr>
          <w:rFonts w:hint="eastAsia" w:ascii="宋体" w:hAnsi="宋体" w:eastAsia="宋体" w:cs="宋体"/>
          <w:color w:val="auto"/>
          <w:sz w:val="24"/>
          <w:lang w:val="en-US" w:eastAsia="zh-CN"/>
        </w:rPr>
        <w:t>7厂商</w:t>
      </w:r>
      <w:r>
        <w:rPr>
          <w:rFonts w:hint="eastAsia" w:ascii="宋体" w:hAnsi="宋体" w:eastAsia="宋体" w:cs="宋体"/>
          <w:color w:val="auto"/>
          <w:sz w:val="24"/>
          <w:lang w:val="en-US"/>
        </w:rPr>
        <w:t>方未按本技术要求和响应文件中规定的其他服务承诺提供售后服务的，按损失情况，每次应按合同合计金额的0.1‰-0.1%</w:t>
      </w:r>
      <w:r>
        <w:rPr>
          <w:rFonts w:hint="eastAsia" w:ascii="宋体" w:hAnsi="宋体" w:eastAsia="宋体" w:cs="宋体"/>
          <w:color w:val="auto"/>
          <w:sz w:val="24"/>
          <w:lang w:val="en-US" w:eastAsia="zh-CN"/>
        </w:rPr>
        <w:t>由乙方</w:t>
      </w:r>
      <w:r>
        <w:rPr>
          <w:rFonts w:hint="eastAsia" w:ascii="宋体" w:hAnsi="宋体" w:eastAsia="宋体" w:cs="宋体"/>
          <w:color w:val="auto"/>
          <w:sz w:val="24"/>
          <w:lang w:val="en-US"/>
        </w:rPr>
        <w:t>向甲方支付违约金，损失累计金额超过合同款项的5%的，损失方同时有权终止合同并收回已付款项。</w:t>
      </w:r>
    </w:p>
    <w:p>
      <w:pPr>
        <w:pStyle w:val="5"/>
        <w:pageBreakBefore w:val="0"/>
        <w:widowControl w:val="0"/>
        <w:kinsoku/>
        <w:wordWrap/>
        <w:overflowPunct/>
        <w:topLinePunct w:val="0"/>
        <w:autoSpaceDE/>
        <w:autoSpaceDN/>
        <w:bidi w:val="0"/>
        <w:adjustRightInd/>
        <w:snapToGrid/>
        <w:spacing w:after="0" w:line="312" w:lineRule="auto"/>
        <w:ind w:firstLine="42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6.8厂商不得在提供的硬件及软件系统中设置包括且不限于如：软硬件加密狗、加密软件、时间锁、授权码等限制硬件及软件系统正常运行的措施，</w:t>
      </w:r>
      <w:r>
        <w:rPr>
          <w:rFonts w:hint="eastAsia" w:ascii="宋体" w:hAnsi="宋体" w:cs="宋体"/>
          <w:kern w:val="2"/>
          <w:sz w:val="24"/>
          <w:lang w:val="en-US"/>
        </w:rPr>
        <w:t>，</w:t>
      </w:r>
      <w:r>
        <w:rPr>
          <w:rFonts w:ascii="宋体" w:hAnsi="宋体" w:cs="宋体"/>
          <w:kern w:val="2"/>
          <w:sz w:val="24"/>
          <w:lang w:val="en-US"/>
        </w:rPr>
        <w:t>如有</w:t>
      </w:r>
      <w:r>
        <w:rPr>
          <w:rFonts w:hint="eastAsia" w:ascii="宋体" w:hAnsi="宋体" w:cs="宋体"/>
          <w:kern w:val="2"/>
          <w:sz w:val="24"/>
          <w:lang w:val="en-US"/>
        </w:rPr>
        <w:t>特殊</w:t>
      </w:r>
      <w:r>
        <w:rPr>
          <w:rFonts w:ascii="宋体" w:hAnsi="宋体" w:cs="宋体"/>
          <w:kern w:val="2"/>
          <w:sz w:val="24"/>
          <w:lang w:val="en-US"/>
        </w:rPr>
        <w:t>需要</w:t>
      </w:r>
      <w:r>
        <w:rPr>
          <w:rFonts w:hint="eastAsia" w:ascii="宋体" w:hAnsi="宋体" w:cs="宋体"/>
          <w:kern w:val="2"/>
          <w:sz w:val="24"/>
          <w:lang w:val="en-US"/>
        </w:rPr>
        <w:t>必须提交</w:t>
      </w:r>
      <w:r>
        <w:rPr>
          <w:rFonts w:ascii="宋体" w:hAnsi="宋体" w:cs="宋体"/>
          <w:kern w:val="2"/>
          <w:sz w:val="24"/>
          <w:lang w:val="en-US"/>
        </w:rPr>
        <w:t>纸质</w:t>
      </w:r>
      <w:r>
        <w:rPr>
          <w:rFonts w:hint="eastAsia" w:ascii="宋体" w:hAnsi="宋体" w:cs="宋体"/>
          <w:kern w:val="2"/>
          <w:sz w:val="24"/>
          <w:lang w:val="en-US"/>
        </w:rPr>
        <w:t>文件说明</w:t>
      </w:r>
      <w:r>
        <w:rPr>
          <w:rFonts w:ascii="宋体" w:hAnsi="宋体" w:cs="宋体"/>
          <w:kern w:val="2"/>
          <w:sz w:val="24"/>
          <w:lang w:val="en-US"/>
        </w:rPr>
        <w:t>，经过我院</w:t>
      </w:r>
      <w:r>
        <w:rPr>
          <w:rFonts w:hint="eastAsia" w:ascii="宋体" w:hAnsi="宋体" w:cs="宋体"/>
          <w:kern w:val="2"/>
          <w:sz w:val="24"/>
          <w:lang w:val="en-US"/>
        </w:rPr>
        <w:t>签字同意</w:t>
      </w:r>
      <w:r>
        <w:rPr>
          <w:rFonts w:ascii="宋体" w:hAnsi="宋体" w:cs="宋体"/>
          <w:kern w:val="2"/>
          <w:sz w:val="24"/>
          <w:lang w:val="en-US"/>
        </w:rPr>
        <w:t>才可设置</w:t>
      </w:r>
      <w:r>
        <w:rPr>
          <w:rFonts w:hint="eastAsia" w:ascii="宋体" w:hAnsi="宋体" w:cs="宋体"/>
          <w:kern w:val="2"/>
          <w:sz w:val="24"/>
          <w:lang w:val="en-US" w:eastAsia="zh-CN"/>
        </w:rPr>
        <w:t>，</w:t>
      </w:r>
      <w:r>
        <w:rPr>
          <w:rFonts w:hint="eastAsia" w:ascii="宋体" w:hAnsi="宋体" w:eastAsia="宋体" w:cs="宋体"/>
          <w:color w:val="auto"/>
          <w:kern w:val="2"/>
          <w:sz w:val="24"/>
          <w:szCs w:val="24"/>
          <w:lang w:val="en-US" w:eastAsia="zh-CN" w:bidi="ar-SA"/>
        </w:rPr>
        <w:t>否则视为乙方违约，乙方需要支付医院违约金50000元伍万元，在此基础上医院有权要求乙方退回甲方已支付的所有款项。如对医院造成损失的，甲方有权要求乙方赔偿。</w:t>
      </w:r>
    </w:p>
    <w:p>
      <w:pPr>
        <w:pStyle w:val="5"/>
        <w:pageBreakBefore w:val="0"/>
        <w:widowControl w:val="0"/>
        <w:kinsoku/>
        <w:wordWrap/>
        <w:overflowPunct/>
        <w:topLinePunct w:val="0"/>
        <w:autoSpaceDE/>
        <w:autoSpaceDN/>
        <w:bidi w:val="0"/>
        <w:adjustRightInd/>
        <w:snapToGrid/>
        <w:spacing w:after="0" w:line="312" w:lineRule="auto"/>
        <w:ind w:firstLine="42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6.9</w:t>
      </w:r>
      <w:r>
        <w:rPr>
          <w:rFonts w:hint="default" w:ascii="宋体" w:hAnsi="宋体" w:eastAsia="宋体" w:cs="宋体"/>
          <w:color w:val="auto"/>
          <w:kern w:val="2"/>
          <w:sz w:val="24"/>
          <w:szCs w:val="24"/>
          <w:lang w:val="en-US" w:eastAsia="zh-CN" w:bidi="ar-SA"/>
        </w:rPr>
        <w:t>厂商驻场工程师人员变更必须得到医院书面同意，否则视为</w:t>
      </w:r>
      <w:r>
        <w:rPr>
          <w:rFonts w:hint="eastAsia" w:ascii="宋体" w:hAnsi="宋体" w:eastAsia="宋体" w:cs="宋体"/>
          <w:color w:val="auto"/>
          <w:kern w:val="2"/>
          <w:sz w:val="24"/>
          <w:szCs w:val="24"/>
          <w:lang w:val="en-US" w:eastAsia="zh-CN" w:bidi="ar-SA"/>
        </w:rPr>
        <w:t>乙方</w:t>
      </w:r>
      <w:r>
        <w:rPr>
          <w:rFonts w:hint="default" w:ascii="宋体" w:hAnsi="宋体" w:eastAsia="宋体" w:cs="宋体"/>
          <w:color w:val="auto"/>
          <w:kern w:val="2"/>
          <w:sz w:val="24"/>
          <w:szCs w:val="24"/>
          <w:lang w:val="en-US" w:eastAsia="zh-CN" w:bidi="ar-SA"/>
        </w:rPr>
        <w:t>违约，</w:t>
      </w:r>
      <w:r>
        <w:rPr>
          <w:rFonts w:hint="eastAsia" w:ascii="宋体" w:hAnsi="宋体" w:eastAsia="宋体" w:cs="宋体"/>
          <w:color w:val="auto"/>
          <w:kern w:val="2"/>
          <w:sz w:val="24"/>
          <w:szCs w:val="24"/>
          <w:lang w:val="en-US" w:eastAsia="zh-CN" w:bidi="ar-SA"/>
        </w:rPr>
        <w:t>甲</w:t>
      </w:r>
      <w:r>
        <w:rPr>
          <w:rFonts w:hint="default" w:ascii="宋体" w:hAnsi="宋体" w:eastAsia="宋体" w:cs="宋体"/>
          <w:color w:val="auto"/>
          <w:kern w:val="2"/>
          <w:sz w:val="24"/>
          <w:szCs w:val="24"/>
          <w:lang w:val="en-US" w:eastAsia="zh-CN" w:bidi="ar-SA"/>
        </w:rPr>
        <w:t>方有权按500</w:t>
      </w:r>
      <w:r>
        <w:rPr>
          <w:rFonts w:hint="eastAsia" w:ascii="宋体" w:hAnsi="宋体" w:eastAsia="宋体" w:cs="宋体"/>
          <w:color w:val="auto"/>
          <w:kern w:val="2"/>
          <w:sz w:val="24"/>
          <w:szCs w:val="24"/>
          <w:lang w:val="en-US" w:eastAsia="zh-CN" w:bidi="ar-SA"/>
        </w:rPr>
        <w:t>0</w:t>
      </w:r>
      <w:r>
        <w:rPr>
          <w:rFonts w:hint="default" w:ascii="宋体" w:hAnsi="宋体" w:eastAsia="宋体" w:cs="宋体"/>
          <w:color w:val="auto"/>
          <w:kern w:val="2"/>
          <w:sz w:val="24"/>
          <w:szCs w:val="24"/>
          <w:lang w:val="en-US" w:eastAsia="zh-CN" w:bidi="ar-SA"/>
        </w:rPr>
        <w:t>元/人/次从合同总款中扣除</w:t>
      </w:r>
      <w:r>
        <w:rPr>
          <w:rFonts w:hint="eastAsia" w:ascii="宋体" w:hAnsi="宋体" w:eastAsia="宋体" w:cs="宋体"/>
          <w:color w:val="auto"/>
          <w:kern w:val="2"/>
          <w:sz w:val="24"/>
          <w:szCs w:val="24"/>
          <w:lang w:val="en-US" w:eastAsia="zh-CN" w:bidi="ar-SA"/>
        </w:rPr>
        <w:t>。</w:t>
      </w:r>
    </w:p>
    <w:p>
      <w:pPr>
        <w:pStyle w:val="5"/>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6.10如合同乙方非软件提供商，软件提供商需承担连带责任，即本技术参数中对乙方的所有约束要求、违约条件均等同于对软件提供商的要求，甲方在追究乙方违约责任的同时可以同步追究软件提供商同等责任，乙方在投标时必须提供软件提供商的售后服务承诺书原件须加盖软件提供商公章。</w:t>
      </w:r>
    </w:p>
    <w:bookmarkEnd w:id="1"/>
    <w:p>
      <w:pPr>
        <w:pStyle w:val="5"/>
        <w:pageBreakBefore w:val="0"/>
        <w:widowControl w:val="0"/>
        <w:kinsoku/>
        <w:wordWrap/>
        <w:overflowPunct/>
        <w:topLinePunct w:val="0"/>
        <w:autoSpaceDE/>
        <w:autoSpaceDN/>
        <w:bidi w:val="0"/>
        <w:adjustRightInd/>
        <w:snapToGrid/>
        <w:spacing w:after="0" w:line="312" w:lineRule="auto"/>
        <w:textAlignment w:val="auto"/>
        <w:rPr>
          <w:rFonts w:ascii="宋体" w:hAnsi="宋体" w:eastAsia="宋体" w:cs="宋体"/>
          <w:b/>
          <w:bCs/>
          <w:color w:val="auto"/>
          <w:sz w:val="28"/>
          <w:lang w:val="en-US"/>
        </w:rPr>
      </w:pPr>
      <w:bookmarkStart w:id="2" w:name="_Toc507405799"/>
      <w:bookmarkStart w:id="3" w:name="_Toc507405800"/>
      <w:r>
        <w:rPr>
          <w:rFonts w:hint="eastAsia" w:ascii="宋体" w:hAnsi="宋体" w:eastAsia="宋体" w:cs="宋体"/>
          <w:b/>
          <w:bCs/>
          <w:color w:val="auto"/>
          <w:sz w:val="28"/>
          <w:lang w:val="en-US"/>
        </w:rPr>
        <w:t>七、保密、廉洁协议</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 双方不得以任何方式向第三方泄露本项目的软件技术、设计方案以及功能配置等内容。</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7.3不以任何方式向第三方泄露在本协议开发实施过程中获取的经济、技术、数据以及双方其他非公开的信息。</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ascii="宋体" w:hAnsi="宋体" w:eastAsia="宋体" w:cs="宋体"/>
          <w:color w:val="auto"/>
          <w:sz w:val="24"/>
          <w:szCs w:val="24"/>
        </w:rPr>
      </w:pPr>
      <w:r>
        <w:rPr>
          <w:rFonts w:hint="eastAsia" w:ascii="宋体" w:hAnsi="宋体" w:eastAsia="宋体" w:cs="宋体"/>
          <w:color w:val="auto"/>
          <w:sz w:val="24"/>
          <w:szCs w:val="24"/>
        </w:rPr>
        <w:t>7.5保密期限自本合同生效之日起永久有效，如乙方需解除保密协议需向甲方提出书面申请，双方协商同意签字确认后方可解除。</w:t>
      </w:r>
    </w:p>
    <w:p>
      <w:pPr>
        <w:pStyle w:val="5"/>
        <w:pageBreakBefore w:val="0"/>
        <w:widowControl w:val="0"/>
        <w:kinsoku/>
        <w:wordWrap/>
        <w:overflowPunct/>
        <w:topLinePunct w:val="0"/>
        <w:autoSpaceDE/>
        <w:autoSpaceDN/>
        <w:bidi w:val="0"/>
        <w:adjustRightInd/>
        <w:snapToGrid/>
        <w:spacing w:after="0" w:line="312" w:lineRule="auto"/>
        <w:textAlignment w:val="auto"/>
        <w:rPr>
          <w:color w:val="auto"/>
          <w:lang w:val="en-US"/>
        </w:rPr>
      </w:pPr>
    </w:p>
    <w:p>
      <w:pPr>
        <w:pStyle w:val="5"/>
        <w:pageBreakBefore w:val="0"/>
        <w:widowControl w:val="0"/>
        <w:kinsoku/>
        <w:wordWrap/>
        <w:overflowPunct/>
        <w:topLinePunct w:val="0"/>
        <w:autoSpaceDE/>
        <w:autoSpaceDN/>
        <w:bidi w:val="0"/>
        <w:adjustRightInd/>
        <w:snapToGrid/>
        <w:spacing w:after="0" w:line="312" w:lineRule="auto"/>
        <w:textAlignment w:val="auto"/>
        <w:rPr>
          <w:rFonts w:ascii="宋体" w:hAnsi="宋体" w:eastAsia="宋体" w:cs="宋体"/>
          <w:b/>
          <w:bCs/>
          <w:color w:val="auto"/>
          <w:sz w:val="28"/>
          <w:lang w:val="en-US"/>
        </w:rPr>
      </w:pPr>
      <w:r>
        <w:rPr>
          <w:rFonts w:hint="eastAsia" w:ascii="宋体" w:hAnsi="宋体" w:eastAsia="宋体" w:cs="宋体"/>
          <w:b/>
          <w:bCs/>
          <w:color w:val="auto"/>
          <w:sz w:val="28"/>
          <w:lang w:val="en-US"/>
        </w:rPr>
        <w:t>八、报价</w:t>
      </w:r>
    </w:p>
    <w:p>
      <w:pPr>
        <w:pStyle w:val="5"/>
        <w:pageBreakBefore w:val="0"/>
        <w:widowControl w:val="0"/>
        <w:kinsoku/>
        <w:wordWrap/>
        <w:overflowPunct/>
        <w:topLinePunct w:val="0"/>
        <w:autoSpaceDE/>
        <w:autoSpaceDN/>
        <w:bidi w:val="0"/>
        <w:adjustRightInd/>
        <w:snapToGrid/>
        <w:spacing w:after="0" w:line="312" w:lineRule="auto"/>
        <w:ind w:firstLine="42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竞标文件按系统模块报价，报价表价格包含系统软硬件费用、产品安装、调试实施、培训费用、产品升级费用</w:t>
      </w:r>
      <w:r>
        <w:rPr>
          <w:rFonts w:hint="eastAsia" w:ascii="宋体" w:hAnsi="宋体" w:eastAsia="宋体" w:cs="宋体"/>
          <w:color w:val="auto"/>
          <w:sz w:val="24"/>
          <w:szCs w:val="24"/>
          <w:lang w:eastAsia="zh-CN"/>
        </w:rPr>
        <w:t>、第三方接口费用</w:t>
      </w:r>
      <w:r>
        <w:rPr>
          <w:rFonts w:hint="eastAsia" w:ascii="宋体" w:hAnsi="宋体" w:eastAsia="宋体" w:cs="宋体"/>
          <w:color w:val="auto"/>
          <w:sz w:val="24"/>
          <w:szCs w:val="24"/>
        </w:rPr>
        <w:t>，以及明示所有责任、义务和一切风险。</w:t>
      </w:r>
    </w:p>
    <w:p>
      <w:pPr>
        <w:pStyle w:val="5"/>
        <w:pageBreakBefore w:val="0"/>
        <w:widowControl w:val="0"/>
        <w:kinsoku/>
        <w:wordWrap/>
        <w:overflowPunct/>
        <w:topLinePunct w:val="0"/>
        <w:autoSpaceDE/>
        <w:autoSpaceDN/>
        <w:bidi w:val="0"/>
        <w:adjustRightInd/>
        <w:snapToGrid/>
        <w:spacing w:after="0" w:line="312" w:lineRule="auto"/>
        <w:ind w:firstLine="42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竞标文件需提供</w:t>
      </w:r>
      <w:r>
        <w:rPr>
          <w:rFonts w:hint="eastAsia" w:ascii="宋体" w:hAnsi="宋体" w:cs="宋体"/>
          <w:sz w:val="24"/>
          <w:szCs w:val="24"/>
          <w:lang w:eastAsia="zh-CN"/>
        </w:rPr>
        <w:t>质</w:t>
      </w:r>
      <w:r>
        <w:rPr>
          <w:rFonts w:hint="eastAsia" w:ascii="宋体" w:hAnsi="宋体" w:cs="宋体"/>
          <w:sz w:val="24"/>
          <w:szCs w:val="24"/>
        </w:rPr>
        <w:t>保期后</w:t>
      </w:r>
      <w:r>
        <w:rPr>
          <w:rFonts w:hint="eastAsia" w:ascii="宋体" w:hAnsi="宋体" w:cs="宋体"/>
          <w:sz w:val="24"/>
          <w:szCs w:val="24"/>
          <w:lang w:eastAsia="zh-CN"/>
        </w:rPr>
        <w:t>维保</w:t>
      </w:r>
      <w:r>
        <w:rPr>
          <w:rFonts w:hint="eastAsia" w:ascii="宋体" w:hAnsi="宋体" w:cs="宋体"/>
          <w:sz w:val="24"/>
          <w:szCs w:val="24"/>
        </w:rPr>
        <w:t>方案及费用</w:t>
      </w:r>
      <w:r>
        <w:rPr>
          <w:rFonts w:hint="eastAsia" w:ascii="宋体" w:hAnsi="宋体" w:eastAsia="宋体" w:cs="宋体"/>
          <w:color w:val="auto"/>
          <w:sz w:val="24"/>
          <w:szCs w:val="24"/>
          <w:lang w:eastAsia="zh-CN"/>
        </w:rPr>
        <w:t>。</w:t>
      </w:r>
    </w:p>
    <w:p>
      <w:pPr>
        <w:pStyle w:val="5"/>
        <w:pageBreakBefore w:val="0"/>
        <w:widowControl w:val="0"/>
        <w:kinsoku/>
        <w:wordWrap/>
        <w:overflowPunct/>
        <w:topLinePunct w:val="0"/>
        <w:autoSpaceDE/>
        <w:autoSpaceDN/>
        <w:bidi w:val="0"/>
        <w:adjustRightInd/>
        <w:snapToGrid/>
        <w:spacing w:after="0" w:line="312" w:lineRule="auto"/>
        <w:ind w:firstLine="42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竞标文件需提供系统详细图文介绍。系统实施验收参照本技术文档及竞标文件提供的图文介绍为依据。</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ascii="宋体" w:hAnsi="宋体" w:eastAsia="宋体" w:cs="宋体"/>
          <w:color w:val="auto"/>
          <w:sz w:val="24"/>
          <w:szCs w:val="24"/>
        </w:rPr>
      </w:pPr>
      <w:r>
        <w:rPr>
          <w:rFonts w:hint="eastAsia" w:ascii="宋体" w:hAnsi="宋体" w:eastAsia="宋体" w:cs="宋体"/>
          <w:color w:val="auto"/>
          <w:sz w:val="24"/>
          <w:szCs w:val="24"/>
        </w:rPr>
        <w:t>如项目功能二次开发内容涉及我院采购的第三方产品，则我院协调第三方产品开发商提供相关二次开发需要的接口和其他信息。请在标书内标明哪些功能的实现需要我院提供二次开发接口。</w:t>
      </w:r>
    </w:p>
    <w:p>
      <w:pPr>
        <w:pStyle w:val="4"/>
        <w:pageBreakBefore w:val="0"/>
        <w:widowControl w:val="0"/>
        <w:numPr>
          <w:ilvl w:val="0"/>
          <w:numId w:val="0"/>
        </w:numPr>
        <w:kinsoku/>
        <w:wordWrap/>
        <w:overflowPunct/>
        <w:topLinePunct w:val="0"/>
        <w:autoSpaceDE/>
        <w:autoSpaceDN/>
        <w:bidi w:val="0"/>
        <w:adjustRightInd/>
        <w:snapToGrid/>
        <w:spacing w:before="0" w:after="0" w:line="312" w:lineRule="auto"/>
        <w:textAlignment w:val="auto"/>
        <w:rPr>
          <w:rFonts w:ascii="宋体" w:hAnsi="宋体"/>
          <w:bCs w:val="0"/>
          <w:sz w:val="32"/>
          <w:szCs w:val="32"/>
        </w:rPr>
      </w:pPr>
      <w:r>
        <w:rPr>
          <w:rFonts w:hint="eastAsia" w:ascii="宋体" w:hAnsi="宋体"/>
          <w:bCs w:val="0"/>
          <w:sz w:val="32"/>
          <w:szCs w:val="32"/>
        </w:rPr>
        <w:t>九、付款方式</w:t>
      </w:r>
      <w:bookmarkEnd w:id="2"/>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ascii="宋体" w:hAnsi="宋体" w:eastAsia="宋体" w:cs="微软雅黑"/>
          <w:sz w:val="24"/>
          <w:szCs w:val="24"/>
        </w:rPr>
      </w:pPr>
      <w:r>
        <w:rPr>
          <w:rFonts w:hint="eastAsia" w:ascii="宋体" w:hAnsi="宋体" w:eastAsia="宋体" w:cs="微软雅黑"/>
          <w:sz w:val="24"/>
          <w:szCs w:val="24"/>
        </w:rPr>
        <w:t>项目双方签订合同，公司进场进行项目实施1个月后，用户支付合同款项的30%</w:t>
      </w:r>
      <w:r>
        <w:rPr>
          <w:rFonts w:hint="eastAsia" w:ascii="宋体" w:hAnsi="宋体" w:eastAsia="宋体" w:cs="微软雅黑"/>
          <w:sz w:val="24"/>
          <w:szCs w:val="24"/>
          <w:lang w:eastAsia="zh-CN"/>
        </w:rPr>
        <w:t>。</w:t>
      </w:r>
      <w:r>
        <w:rPr>
          <w:rFonts w:hint="eastAsia" w:ascii="宋体" w:hAnsi="宋体" w:eastAsia="宋体" w:cs="微软雅黑"/>
          <w:sz w:val="24"/>
          <w:szCs w:val="24"/>
        </w:rPr>
        <w:t>合同</w:t>
      </w:r>
      <w:r>
        <w:rPr>
          <w:rFonts w:hint="eastAsia" w:ascii="宋体" w:hAnsi="宋体" w:eastAsia="宋体" w:cs="微软雅黑"/>
          <w:sz w:val="24"/>
          <w:szCs w:val="24"/>
          <w:lang w:eastAsia="zh-CN"/>
        </w:rPr>
        <w:t>内容</w:t>
      </w:r>
      <w:r>
        <w:rPr>
          <w:rFonts w:hint="eastAsia" w:ascii="宋体" w:hAnsi="宋体" w:eastAsia="宋体" w:cs="微软雅黑"/>
          <w:sz w:val="24"/>
          <w:szCs w:val="24"/>
        </w:rPr>
        <w:t>实施完毕，</w:t>
      </w:r>
      <w:r>
        <w:rPr>
          <w:rFonts w:hint="eastAsia" w:ascii="宋体" w:hAnsi="宋体" w:eastAsia="宋体" w:cs="微软雅黑"/>
          <w:sz w:val="24"/>
          <w:szCs w:val="24"/>
          <w:lang w:eastAsia="zh-CN"/>
        </w:rPr>
        <w:t>系统</w:t>
      </w:r>
      <w:r>
        <w:rPr>
          <w:rFonts w:hint="eastAsia" w:ascii="宋体" w:hAnsi="宋体" w:eastAsia="宋体" w:cs="微软雅黑"/>
          <w:sz w:val="24"/>
          <w:szCs w:val="24"/>
        </w:rPr>
        <w:t>上线稳定运行3个月后，启动验收，验收合格后付合同款项的60%，自验收合格之日起，1年后付10%。</w:t>
      </w:r>
    </w:p>
    <w:bookmarkEnd w:id="3"/>
    <w:p>
      <w:pPr>
        <w:pStyle w:val="5"/>
        <w:pageBreakBefore w:val="0"/>
        <w:widowControl w:val="0"/>
        <w:kinsoku/>
        <w:wordWrap/>
        <w:overflowPunct/>
        <w:topLinePunct w:val="0"/>
        <w:autoSpaceDE/>
        <w:autoSpaceDN/>
        <w:bidi w:val="0"/>
        <w:adjustRightInd/>
        <w:snapToGrid/>
        <w:spacing w:after="0" w:line="312" w:lineRule="auto"/>
        <w:textAlignment w:val="auto"/>
      </w:pPr>
    </w:p>
    <w:p>
      <w:pPr>
        <w:pStyle w:val="5"/>
        <w:pageBreakBefore w:val="0"/>
        <w:widowControl w:val="0"/>
        <w:kinsoku/>
        <w:wordWrap/>
        <w:overflowPunct/>
        <w:topLinePunct w:val="0"/>
        <w:autoSpaceDE/>
        <w:autoSpaceDN/>
        <w:bidi w:val="0"/>
        <w:adjustRightInd/>
        <w:snapToGrid/>
        <w:spacing w:after="0" w:line="312" w:lineRule="auto"/>
        <w:textAlignment w:val="auto"/>
        <w:rPr>
          <w:sz w:val="24"/>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D84B87"/>
    <w:multiLevelType w:val="multilevel"/>
    <w:tmpl w:val="14D84B87"/>
    <w:lvl w:ilvl="0" w:tentative="0">
      <w:start w:val="1"/>
      <w:numFmt w:val="chineseCountingThousand"/>
      <w:pStyle w:val="4"/>
      <w:lvlText w:val="%1"/>
      <w:lvlJc w:val="left"/>
      <w:pPr>
        <w:ind w:left="425" w:hanging="425"/>
      </w:pPr>
      <w:rPr>
        <w:rFonts w:hint="eastAsia"/>
      </w:rPr>
    </w:lvl>
    <w:lvl w:ilvl="1" w:tentative="0">
      <w:start w:val="1"/>
      <w:numFmt w:val="chineseCountingThousand"/>
      <w:lvlText w:val="(%2)"/>
      <w:lvlJc w:val="left"/>
      <w:pPr>
        <w:ind w:left="850" w:hanging="567"/>
      </w:pPr>
      <w:rPr>
        <w:rFonts w:hint="eastAsia"/>
      </w:rPr>
    </w:lvl>
    <w:lvl w:ilvl="2" w:tentative="0">
      <w:start w:val="1"/>
      <w:numFmt w:val="decimal"/>
      <w:lvlText w:val="%3."/>
      <w:lvlJc w:val="left"/>
      <w:pPr>
        <w:ind w:left="1356"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1">
    <w:nsid w:val="23EC5C6F"/>
    <w:multiLevelType w:val="multilevel"/>
    <w:tmpl w:val="23EC5C6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3ZDgzZmI2ZDJmOTI0YzYwZjFmMWYxMDRmMGE4MDYifQ=="/>
    <w:docVar w:name="KSO_WPS_MARK_KEY" w:val="89bf6183-19e4-4776-bf35-b12a3229aab4"/>
  </w:docVars>
  <w:rsids>
    <w:rsidRoot w:val="003E62DF"/>
    <w:rsid w:val="000E2410"/>
    <w:rsid w:val="001A11FC"/>
    <w:rsid w:val="001A1C12"/>
    <w:rsid w:val="002A29C0"/>
    <w:rsid w:val="00306E6E"/>
    <w:rsid w:val="003E62DF"/>
    <w:rsid w:val="00435C7C"/>
    <w:rsid w:val="00481560"/>
    <w:rsid w:val="00491534"/>
    <w:rsid w:val="004D3BA6"/>
    <w:rsid w:val="005D449A"/>
    <w:rsid w:val="006A3CAE"/>
    <w:rsid w:val="006C202C"/>
    <w:rsid w:val="008C322F"/>
    <w:rsid w:val="00A140D3"/>
    <w:rsid w:val="00B759E0"/>
    <w:rsid w:val="00D5380E"/>
    <w:rsid w:val="00DC1FBB"/>
    <w:rsid w:val="00E61AD4"/>
    <w:rsid w:val="00F13AA1"/>
    <w:rsid w:val="038608DA"/>
    <w:rsid w:val="03C9034E"/>
    <w:rsid w:val="06DF14B2"/>
    <w:rsid w:val="0A791D80"/>
    <w:rsid w:val="0D6A407F"/>
    <w:rsid w:val="0F2A1F3D"/>
    <w:rsid w:val="109B068D"/>
    <w:rsid w:val="14782DB8"/>
    <w:rsid w:val="14AF00BD"/>
    <w:rsid w:val="153D4F2B"/>
    <w:rsid w:val="165C1DAE"/>
    <w:rsid w:val="16ED2D59"/>
    <w:rsid w:val="17536FF6"/>
    <w:rsid w:val="19151124"/>
    <w:rsid w:val="1A251034"/>
    <w:rsid w:val="1AA944D3"/>
    <w:rsid w:val="1B5C436C"/>
    <w:rsid w:val="1B91509A"/>
    <w:rsid w:val="1D9262D5"/>
    <w:rsid w:val="1D9E4B46"/>
    <w:rsid w:val="1E787F75"/>
    <w:rsid w:val="22293C01"/>
    <w:rsid w:val="224243ED"/>
    <w:rsid w:val="22C90898"/>
    <w:rsid w:val="24DA1462"/>
    <w:rsid w:val="251F0377"/>
    <w:rsid w:val="25D43FBF"/>
    <w:rsid w:val="26AA16D4"/>
    <w:rsid w:val="284C2F0D"/>
    <w:rsid w:val="2E55261B"/>
    <w:rsid w:val="34465675"/>
    <w:rsid w:val="349A749A"/>
    <w:rsid w:val="34A02F04"/>
    <w:rsid w:val="367D4F11"/>
    <w:rsid w:val="3A965B44"/>
    <w:rsid w:val="3B4F3BCB"/>
    <w:rsid w:val="3D655CAD"/>
    <w:rsid w:val="3DCF123E"/>
    <w:rsid w:val="3DE3508D"/>
    <w:rsid w:val="3FFE146B"/>
    <w:rsid w:val="41971DBD"/>
    <w:rsid w:val="455A3219"/>
    <w:rsid w:val="480C0CC5"/>
    <w:rsid w:val="49C017DB"/>
    <w:rsid w:val="4BBE64CF"/>
    <w:rsid w:val="4F640350"/>
    <w:rsid w:val="507D710A"/>
    <w:rsid w:val="50844495"/>
    <w:rsid w:val="508670F0"/>
    <w:rsid w:val="50A873B9"/>
    <w:rsid w:val="52C84CF5"/>
    <w:rsid w:val="54361EC0"/>
    <w:rsid w:val="54E82BB7"/>
    <w:rsid w:val="55B43D13"/>
    <w:rsid w:val="56864135"/>
    <w:rsid w:val="585573E7"/>
    <w:rsid w:val="5A334C18"/>
    <w:rsid w:val="5C6164F3"/>
    <w:rsid w:val="5EEF047E"/>
    <w:rsid w:val="606A2F3D"/>
    <w:rsid w:val="63EF6D4C"/>
    <w:rsid w:val="65EF576E"/>
    <w:rsid w:val="67234BE8"/>
    <w:rsid w:val="68B72934"/>
    <w:rsid w:val="69A9737D"/>
    <w:rsid w:val="6A5B6461"/>
    <w:rsid w:val="6C906863"/>
    <w:rsid w:val="6CED0739"/>
    <w:rsid w:val="711C77D0"/>
    <w:rsid w:val="71F94C9C"/>
    <w:rsid w:val="73051406"/>
    <w:rsid w:val="73F71B2F"/>
    <w:rsid w:val="75D132D6"/>
    <w:rsid w:val="76C64F98"/>
    <w:rsid w:val="79792DFF"/>
    <w:rsid w:val="7AB427B8"/>
    <w:rsid w:val="7ED45A9B"/>
    <w:rsid w:val="7F895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character" w:default="1" w:styleId="10">
    <w:name w:val="Default Paragraph Font"/>
    <w:unhideWhenUsed/>
    <w:qFormat/>
    <w:uiPriority w:val="1"/>
  </w:style>
  <w:style w:type="table" w:default="1" w:styleId="8">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5">
    <w:name w:val="Body Text"/>
    <w:basedOn w:val="1"/>
    <w:link w:val="15"/>
    <w:qFormat/>
    <w:uiPriority w:val="0"/>
    <w:pPr>
      <w:spacing w:after="120"/>
    </w:pPr>
    <w:rPr>
      <w:rFonts w:ascii="Times New Roman" w:hAnsi="Times New Roman"/>
      <w:kern w:val="0"/>
      <w:sz w:val="20"/>
      <w:szCs w:val="24"/>
      <w:lang w:val="zh-CN"/>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List Paragraph"/>
    <w:basedOn w:val="1"/>
    <w:qFormat/>
    <w:uiPriority w:val="34"/>
    <w:pPr>
      <w:ind w:firstLine="420" w:firstLineChars="200"/>
    </w:pPr>
  </w:style>
  <w:style w:type="paragraph" w:customStyle="1" w:styleId="12">
    <w:name w:val="p15"/>
    <w:basedOn w:val="1"/>
    <w:qFormat/>
    <w:uiPriority w:val="0"/>
    <w:pPr>
      <w:widowControl/>
      <w:ind w:firstLine="420"/>
    </w:pPr>
    <w:rPr>
      <w:kern w:val="0"/>
      <w:szCs w:val="21"/>
    </w:rPr>
  </w:style>
  <w:style w:type="character" w:customStyle="1" w:styleId="13">
    <w:name w:val="页眉 字符"/>
    <w:basedOn w:val="10"/>
    <w:link w:val="7"/>
    <w:qFormat/>
    <w:uiPriority w:val="0"/>
    <w:rPr>
      <w:rFonts w:asciiTheme="minorHAnsi" w:hAnsiTheme="minorHAnsi" w:eastAsiaTheme="minorEastAsia" w:cstheme="minorBidi"/>
      <w:kern w:val="2"/>
      <w:sz w:val="18"/>
      <w:szCs w:val="18"/>
    </w:rPr>
  </w:style>
  <w:style w:type="character" w:customStyle="1" w:styleId="14">
    <w:name w:val="页脚 字符"/>
    <w:basedOn w:val="10"/>
    <w:link w:val="6"/>
    <w:qFormat/>
    <w:uiPriority w:val="0"/>
    <w:rPr>
      <w:rFonts w:asciiTheme="minorHAnsi" w:hAnsiTheme="minorHAnsi" w:eastAsiaTheme="minorEastAsia" w:cstheme="minorBidi"/>
      <w:kern w:val="2"/>
      <w:sz w:val="18"/>
      <w:szCs w:val="18"/>
    </w:rPr>
  </w:style>
  <w:style w:type="character" w:customStyle="1" w:styleId="15">
    <w:name w:val="正文文本 字符"/>
    <w:basedOn w:val="10"/>
    <w:link w:val="5"/>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3837</Words>
  <Characters>3978</Characters>
  <Lines>26</Lines>
  <Paragraphs>7</Paragraphs>
  <TotalTime>14</TotalTime>
  <ScaleCrop>false</ScaleCrop>
  <LinksUpToDate>false</LinksUpToDate>
  <CharactersWithSpaces>3992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2021-09-14T03:36:00Z</dcterms:created>
  <dc:creator>LGYY-USER</dc:creator>
  <cp:lastModifiedBy>颜海威</cp:lastModifiedBy>
  <dcterms:modified xsi:type="dcterms:W3CDTF">2024-03-14T08:14:10Z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BF1ECDC19F7B4E71BE3A54ED46C02AB7</vt:lpwstr>
  </property>
</Properties>
</file>