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12" w:lineRule="auto"/>
        <w:jc w:val="center"/>
        <w:rPr>
          <w:rFonts w:ascii="宋体" w:hAnsi="宋体" w:eastAsia="宋体" w:cs="微软雅黑"/>
          <w:b/>
          <w:bCs/>
          <w:kern w:val="44"/>
          <w:sz w:val="30"/>
          <w:szCs w:val="30"/>
        </w:rPr>
      </w:pPr>
      <w:bookmarkStart w:id="0" w:name="_Toc344816509"/>
      <w:r>
        <w:rPr>
          <w:rFonts w:hint="eastAsia" w:ascii="宋体" w:hAnsi="宋体" w:eastAsia="宋体" w:cs="微软雅黑"/>
          <w:b/>
          <w:bCs/>
          <w:kern w:val="44"/>
          <w:sz w:val="30"/>
          <w:szCs w:val="30"/>
        </w:rPr>
        <w:t>箭盘山街道社区卫生服务中心数字化预防接种门诊</w:t>
      </w:r>
    </w:p>
    <w:p>
      <w:pPr>
        <w:keepNext/>
        <w:keepLines/>
        <w:spacing w:line="312" w:lineRule="auto"/>
        <w:jc w:val="center"/>
        <w:rPr>
          <w:rFonts w:ascii="宋体" w:hAnsi="宋体" w:eastAsia="宋体" w:cs="微软雅黑"/>
          <w:b/>
          <w:bCs/>
          <w:kern w:val="44"/>
          <w:sz w:val="30"/>
          <w:szCs w:val="30"/>
        </w:rPr>
      </w:pPr>
      <w:r>
        <w:rPr>
          <w:rFonts w:hint="eastAsia" w:ascii="宋体" w:hAnsi="宋体" w:eastAsia="宋体" w:cs="微软雅黑"/>
          <w:b/>
          <w:bCs/>
          <w:kern w:val="44"/>
          <w:sz w:val="30"/>
          <w:szCs w:val="30"/>
        </w:rPr>
        <w:t>排队叫号留观系统参数要求</w:t>
      </w:r>
    </w:p>
    <w:p>
      <w:pPr>
        <w:keepNext/>
        <w:keepLines/>
        <w:spacing w:line="312" w:lineRule="auto"/>
        <w:ind w:left="420" w:leftChars="200"/>
        <w:jc w:val="left"/>
        <w:rPr>
          <w:rFonts w:ascii="宋体" w:hAnsi="宋体" w:eastAsia="宋体" w:cs="微软雅黑"/>
          <w:b/>
          <w:bCs/>
          <w:kern w:val="44"/>
          <w:sz w:val="24"/>
          <w:szCs w:val="24"/>
        </w:rPr>
      </w:pPr>
    </w:p>
    <w:bookmarkEnd w:id="0"/>
    <w:p>
      <w:pPr>
        <w:pStyle w:val="9"/>
        <w:numPr>
          <w:ilvl w:val="0"/>
          <w:numId w:val="2"/>
        </w:numPr>
        <w:spacing w:line="312" w:lineRule="auto"/>
        <w:ind w:firstLineChars="0"/>
        <w:rPr>
          <w:rFonts w:ascii="宋体" w:hAnsi="宋体" w:eastAsia="宋体"/>
          <w:b/>
          <w:sz w:val="28"/>
          <w:szCs w:val="28"/>
        </w:rPr>
      </w:pPr>
      <w:r>
        <w:rPr>
          <w:rFonts w:hint="eastAsia" w:ascii="宋体" w:hAnsi="宋体" w:eastAsia="宋体"/>
          <w:b/>
          <w:sz w:val="28"/>
          <w:szCs w:val="28"/>
        </w:rPr>
        <w:t>项目背景</w:t>
      </w:r>
    </w:p>
    <w:p>
      <w:pPr>
        <w:widowControl/>
        <w:ind w:firstLine="480" w:firstLineChars="200"/>
        <w:jc w:val="left"/>
        <w:rPr>
          <w:rFonts w:ascii="宋体" w:hAnsi="宋体" w:eastAsia="宋体" w:cs="宋体"/>
          <w:sz w:val="24"/>
          <w:szCs w:val="24"/>
        </w:rPr>
      </w:pPr>
      <w:r>
        <w:rPr>
          <w:rFonts w:hint="eastAsia" w:ascii="宋体" w:hAnsi="宋体" w:eastAsia="宋体" w:cs="宋体"/>
          <w:sz w:val="24"/>
          <w:szCs w:val="24"/>
        </w:rPr>
        <w:t>为响应</w:t>
      </w:r>
      <w:r>
        <w:rPr>
          <w:rFonts w:hint="eastAsia" w:ascii="宋体" w:hAnsi="宋体" w:eastAsia="宋体" w:cs="宋体"/>
          <w:color w:val="000000"/>
          <w:kern w:val="0"/>
          <w:sz w:val="24"/>
          <w:szCs w:val="24"/>
        </w:rPr>
        <w:t>《广西数字化预防接种门诊规范化建设实施方案》的实施，箭盘山中心进行预防接种门诊数字化改造。</w:t>
      </w:r>
    </w:p>
    <w:p>
      <w:pPr>
        <w:spacing w:line="312" w:lineRule="auto"/>
        <w:rPr>
          <w:rFonts w:ascii="宋体" w:hAnsi="宋体" w:eastAsia="宋体"/>
          <w:sz w:val="24"/>
          <w:szCs w:val="24"/>
        </w:rPr>
      </w:pPr>
    </w:p>
    <w:p>
      <w:pPr>
        <w:pStyle w:val="9"/>
        <w:numPr>
          <w:ilvl w:val="0"/>
          <w:numId w:val="2"/>
        </w:numPr>
        <w:spacing w:line="312" w:lineRule="auto"/>
        <w:ind w:firstLineChars="0"/>
        <w:rPr>
          <w:rFonts w:ascii="宋体" w:hAnsi="宋体" w:eastAsia="宋体"/>
          <w:b/>
          <w:sz w:val="28"/>
          <w:szCs w:val="28"/>
        </w:rPr>
      </w:pPr>
      <w:r>
        <w:rPr>
          <w:rFonts w:hint="eastAsia" w:ascii="宋体" w:hAnsi="宋体" w:eastAsia="宋体"/>
          <w:b/>
          <w:sz w:val="28"/>
          <w:szCs w:val="28"/>
        </w:rPr>
        <w:t>项目建设内容及要求</w:t>
      </w:r>
    </w:p>
    <w:p>
      <w:pPr>
        <w:pStyle w:val="9"/>
        <w:numPr>
          <w:ilvl w:val="255"/>
          <w:numId w:val="0"/>
        </w:numPr>
        <w:spacing w:line="312" w:lineRule="auto"/>
        <w:ind w:firstLine="241" w:firstLineChars="100"/>
        <w:rPr>
          <w:rFonts w:ascii="宋体" w:hAnsi="宋体" w:eastAsia="宋体"/>
          <w:b/>
          <w:bCs/>
          <w:sz w:val="24"/>
          <w:szCs w:val="24"/>
        </w:rPr>
      </w:pPr>
      <w:r>
        <w:rPr>
          <w:rFonts w:hint="eastAsia" w:ascii="宋体" w:hAnsi="宋体" w:eastAsia="宋体"/>
          <w:b/>
          <w:bCs/>
          <w:sz w:val="24"/>
          <w:szCs w:val="24"/>
        </w:rPr>
        <w:t>预防接种数字化系统</w:t>
      </w:r>
    </w:p>
    <w:tbl>
      <w:tblPr>
        <w:tblStyle w:val="6"/>
        <w:tblW w:w="8535" w:type="dxa"/>
        <w:tblInd w:w="-5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421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3"/>
                <w:lang w:val="en-US" w:eastAsia="zh-CN"/>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3"/>
                <w:lang w:val="en-US" w:eastAsia="zh-CN"/>
              </w:rPr>
              <w:t>设备名称</w:t>
            </w:r>
          </w:p>
        </w:tc>
        <w:tc>
          <w:tcPr>
            <w:tcW w:w="4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3"/>
                <w:lang w:val="en-US" w:eastAsia="zh-CN"/>
              </w:rPr>
              <w:t>功能参数</w:t>
            </w:r>
          </w:p>
        </w:tc>
        <w:tc>
          <w:tcPr>
            <w:tcW w:w="1080"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3"/>
                <w:lang w:val="en-US" w:eastAsia="zh-CN"/>
              </w:rPr>
              <w:t>数量</w:t>
            </w:r>
          </w:p>
        </w:tc>
        <w:tc>
          <w:tcPr>
            <w:tcW w:w="1080"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3"/>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排队叫号机</w:t>
            </w:r>
          </w:p>
        </w:tc>
        <w:tc>
          <w:tcPr>
            <w:tcW w:w="4215" w:type="dxa"/>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32英寸液晶显示屏，16：9屏幕比例，1920* 1080分辨率；CPU：Intel I5；运行内存：4GB；存储空间：128GB；支持win10正版操作系统；</w:t>
            </w:r>
            <w:r>
              <w:rPr>
                <w:rStyle w:val="15"/>
                <w:lang w:val="en-US" w:eastAsia="zh-CN"/>
              </w:rPr>
              <w:t xml:space="preserve"> </w:t>
            </w:r>
            <w:r>
              <w:rPr>
                <w:rStyle w:val="14"/>
                <w:lang w:val="en-US" w:eastAsia="zh-CN"/>
              </w:rPr>
              <w:t>配备4个医用级福马轮，带调平和锁止功能，移动方便，停放稳固；所投产品生产商须具备有效的ISO13485质量认证、ISO9001质量体系认证、ISO14001环境体系认证和职业安全健康ISO45001认证；使用RJ45产品联网模式，产品扫描模块支持对一维码、二维码的扫码取号。高续航号票打印、两种身份识别方式、高清触摸显示大屏，内嵌数字化门诊核心枢纽软件，全面协同工作。做到多端口同时预约取号→登记叫号→接种叫号→留观机，叫号流程均实现可视化</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留观机</w:t>
            </w:r>
          </w:p>
        </w:tc>
        <w:tc>
          <w:tcPr>
            <w:tcW w:w="4215" w:type="dxa"/>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32英寸液晶显示屏，16：9屏幕比例，1920* 1080分辨率；CPU：Intel I5；运行内存：4GB；存储空间：128GB；支持win10正版操作系统； 配备4个医用级福马轮，带调平和锁止功能，移动方便，停放稳固；所投产品生产商须具备有效的ISO13485质量认证、ISO9001质量体系认证、ISO14001环境体系认证和职业安全健康ISO45001认证；扫描模块支持对一维码、二维码的扫描读取；使用支持打印留观凭证的热敏打印机模块，采用RJ45的产品联网模式。内嵌数字化门诊核心枢纽软件，全面协同工作。实现接收到接种疫苗后的排队号，设置留观时间。留观时间结束后自动播报放行。留观放行实现可视化。</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软件及互联设备</w:t>
            </w:r>
          </w:p>
        </w:tc>
        <w:tc>
          <w:tcPr>
            <w:tcW w:w="4215" w:type="dxa"/>
            <w:tcBorders>
              <w:top w:val="nil"/>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数字化预防接种门诊全流程信息管理系统接口软件；排队叫号显示管理</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15" w:type="dxa"/>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控制系统；虚拟呼叫和语音播报控制系统；多媒体信息发布系统；提供数字化门诊规划，设计，软件的实施安装，培训，维护等。提供网络机顶盒于甲方，配套数字化管理系统使用。</w:t>
            </w:r>
          </w:p>
        </w:tc>
        <w:tc>
          <w:tcPr>
            <w:tcW w:w="1080"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签核一体机电脑</w:t>
            </w:r>
          </w:p>
        </w:tc>
        <w:tc>
          <w:tcPr>
            <w:tcW w:w="421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处理器：高性能四核CPU，主频1.6G，ARM Cortex-A17架构</w:t>
            </w:r>
          </w:p>
        </w:tc>
        <w:tc>
          <w:tcPr>
            <w:tcW w:w="1080" w:type="dxa"/>
            <w:vMerge w:val="restar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80" w:type="dxa"/>
            <w:vMerge w:val="restar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1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内存：DDR3，2GB</w:t>
            </w: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1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存储：Flash，16GB，预留一个有封口的TF卡座</w:t>
            </w: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1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系统：支持安卓5.1</w:t>
            </w: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1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外接电源供电 ：DC 12V 3A</w:t>
            </w: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1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线缆插口：USB 2.0*2个; DC*1个</w:t>
            </w: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1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显示屏：11.6寸；分辨率1920*1080；</w:t>
            </w: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1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亮度200cd/m²；对比度1000：1；颜色深度：16.7M</w:t>
            </w: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1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摄像头： 1/3” 工业级130W高清宽动态图像传感器</w:t>
            </w: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1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指纹仪：处理器经公安部认证指纹模块 公京检第17P1017号；半导体指纹传感器；指纹图像录入时间&lt;1.0s；</w:t>
            </w: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1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加密模块：支持对称加密算法和各种专用密码算法</w:t>
            </w: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1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电子签名感应方式：兼容电磁、电容感应技术；支持电磁手写笔、尖头</w:t>
            </w: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签核机满足智能签核专用软件系统，可供疫苗登记等功能，支持多种方式确认</w:t>
            </w: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32寸</w:t>
            </w:r>
            <w:r>
              <w:rPr>
                <w:rFonts w:hint="default" w:ascii="宋体" w:hAnsi="宋体" w:eastAsia="宋体" w:cs="宋体"/>
                <w:i w:val="0"/>
                <w:iCs w:val="0"/>
                <w:color w:val="000000"/>
                <w:kern w:val="0"/>
                <w:sz w:val="22"/>
                <w:szCs w:val="22"/>
                <w:u w:val="none"/>
                <w:lang w:val="en-US" w:eastAsia="zh-CN"/>
              </w:rPr>
              <w:t>登记接种</w:t>
            </w:r>
            <w:r>
              <w:rPr>
                <w:rFonts w:hint="eastAsia" w:ascii="宋体" w:hAnsi="宋体" w:eastAsia="宋体" w:cs="宋体"/>
                <w:i w:val="0"/>
                <w:iCs w:val="0"/>
                <w:color w:val="000000"/>
                <w:kern w:val="0"/>
                <w:sz w:val="22"/>
                <w:szCs w:val="22"/>
                <w:u w:val="none"/>
                <w:lang w:val="en-US" w:eastAsia="zh-CN"/>
              </w:rPr>
              <w:t>屏</w:t>
            </w:r>
          </w:p>
        </w:tc>
        <w:tc>
          <w:tcPr>
            <w:tcW w:w="421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两个登记台分别装一台显示器，用于显示在登记信息。</w:t>
            </w:r>
          </w:p>
        </w:tc>
        <w:tc>
          <w:tcPr>
            <w:tcW w:w="1080" w:type="dxa"/>
            <w:vMerge w:val="restar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4</w:t>
            </w:r>
          </w:p>
        </w:tc>
        <w:tc>
          <w:tcPr>
            <w:tcW w:w="1080" w:type="dxa"/>
            <w:vMerge w:val="restar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两个接种台分别装一台显示器，用于显示在接种信息。</w:t>
            </w: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vMerge w:val="continue"/>
            <w:tcBorders>
              <w:top w:val="single" w:color="auto" w:sz="4" w:space="0"/>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55寸留观</w:t>
            </w:r>
            <w:r>
              <w:rPr>
                <w:rFonts w:hint="default" w:ascii="宋体" w:hAnsi="宋体" w:eastAsia="宋体" w:cs="宋体"/>
                <w:i w:val="0"/>
                <w:iCs w:val="0"/>
                <w:color w:val="000000"/>
                <w:kern w:val="0"/>
                <w:sz w:val="22"/>
                <w:szCs w:val="22"/>
                <w:u w:val="none"/>
                <w:lang w:val="en-US" w:eastAsia="zh-CN"/>
              </w:rPr>
              <w:t>候诊</w:t>
            </w:r>
            <w:r>
              <w:rPr>
                <w:rFonts w:hint="eastAsia" w:ascii="宋体" w:hAnsi="宋体" w:eastAsia="宋体" w:cs="宋体"/>
                <w:i w:val="0"/>
                <w:iCs w:val="0"/>
                <w:color w:val="000000"/>
                <w:kern w:val="0"/>
                <w:sz w:val="22"/>
                <w:szCs w:val="22"/>
                <w:u w:val="none"/>
                <w:lang w:val="en-US" w:eastAsia="zh-CN"/>
              </w:rPr>
              <w:t>屏</w:t>
            </w:r>
          </w:p>
        </w:tc>
        <w:tc>
          <w:tcPr>
            <w:tcW w:w="4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候诊区安装一台，显示取号候诊排队信息。留观区安装一台，显示留观等待信息。</w:t>
            </w:r>
          </w:p>
        </w:tc>
        <w:tc>
          <w:tcPr>
            <w:tcW w:w="10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0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安卓盒子</w:t>
            </w:r>
          </w:p>
        </w:tc>
        <w:tc>
          <w:tcPr>
            <w:tcW w:w="4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RAM 2GB</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内存 8GB</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CPU 905L</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操作系统 Android 9.0</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网络连接 WiFi 802.11b/g/n</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 xml:space="preserve">以太网 10M/100M </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USB    1组</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HDMI输入   1组</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DC接口   1组</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外置IR接口   1组</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RJ45 以太网接口  1组</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开机软件自启 开机自启指定APP</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开机画面 可定制开机画面</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软件安装 可自行安装APP</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电源 12V/1A</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工作温度 0--50度</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学习型遥控器 1个</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电源适配器 1个</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HDMI线 一跟</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电池 2节</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软件：必须满足*与《儿童预防接种信息管理系统》无缝对接.</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rPr>
              <w:t>综合布线</w:t>
            </w:r>
          </w:p>
        </w:tc>
        <w:tc>
          <w:tcPr>
            <w:tcW w:w="4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从登记到留观的全流程布线。网线使用CAT 5，网线与RJ-45头连接采用EIA/TIA 568B标准；电源线、电源插座、电路开关。</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r>
    </w:tbl>
    <w:p>
      <w:pPr>
        <w:pStyle w:val="3"/>
        <w:spacing w:after="0" w:line="312" w:lineRule="auto"/>
        <w:rPr>
          <w:lang w:val="en-US"/>
        </w:rPr>
      </w:pPr>
    </w:p>
    <w:p>
      <w:pPr>
        <w:pStyle w:val="2"/>
        <w:numPr>
          <w:ilvl w:val="0"/>
          <w:numId w:val="0"/>
        </w:numPr>
        <w:spacing w:before="0" w:after="0" w:line="312" w:lineRule="auto"/>
        <w:rPr>
          <w:rFonts w:ascii="宋体" w:hAnsi="宋体"/>
          <w:bCs w:val="0"/>
          <w:sz w:val="32"/>
          <w:szCs w:val="32"/>
        </w:rPr>
      </w:pPr>
      <w:r>
        <w:rPr>
          <w:rFonts w:hint="eastAsia" w:ascii="宋体" w:hAnsi="宋体"/>
          <w:bCs w:val="0"/>
          <w:sz w:val="32"/>
          <w:szCs w:val="32"/>
        </w:rPr>
        <w:t>三、项目实施要求</w:t>
      </w:r>
    </w:p>
    <w:p>
      <w:pPr>
        <w:pStyle w:val="3"/>
        <w:spacing w:after="0" w:line="312" w:lineRule="auto"/>
        <w:ind w:firstLine="420"/>
        <w:rPr>
          <w:rFonts w:ascii="宋体" w:hAnsi="宋体" w:eastAsia="宋体" w:cs="宋体"/>
          <w:sz w:val="24"/>
          <w:lang w:val="en-US"/>
        </w:rPr>
      </w:pPr>
      <w:r>
        <w:rPr>
          <w:rFonts w:ascii="宋体" w:hAnsi="宋体" w:eastAsia="宋体" w:cs="宋体"/>
          <w:sz w:val="24"/>
          <w:lang w:val="en-US"/>
        </w:rPr>
        <w:t>3</w:t>
      </w:r>
      <w:r>
        <w:rPr>
          <w:rFonts w:hint="eastAsia" w:ascii="宋体" w:hAnsi="宋体" w:eastAsia="宋体" w:cs="宋体"/>
          <w:sz w:val="24"/>
          <w:lang w:val="en-US"/>
        </w:rPr>
        <w:t>.1驻场、实施工期要求：合同签订后，依照甲方通知3个工作日内，协调人员到场与基础建设施工方沟通综合布线方案。系统需在收到甲方通知入场施工后30天内完成项目实施上线，请分别列出每个系统实施的工作计划及周期。</w:t>
      </w:r>
    </w:p>
    <w:p>
      <w:pPr>
        <w:pStyle w:val="3"/>
        <w:spacing w:after="0" w:line="312" w:lineRule="auto"/>
        <w:ind w:firstLine="420"/>
        <w:rPr>
          <w:rFonts w:ascii="宋体" w:hAnsi="宋体" w:eastAsia="宋体" w:cs="宋体"/>
          <w:sz w:val="24"/>
          <w:lang w:val="en-US"/>
        </w:rPr>
      </w:pPr>
      <w:r>
        <w:rPr>
          <w:rFonts w:ascii="宋体" w:hAnsi="宋体" w:eastAsia="宋体" w:cs="宋体"/>
          <w:sz w:val="24"/>
          <w:lang w:val="en-US"/>
        </w:rPr>
        <w:t>3</w:t>
      </w:r>
      <w:r>
        <w:rPr>
          <w:rFonts w:hint="eastAsia" w:ascii="宋体" w:hAnsi="宋体" w:eastAsia="宋体" w:cs="宋体"/>
          <w:sz w:val="24"/>
          <w:lang w:val="en-US"/>
        </w:rPr>
        <w:t>.2驻场人员要求：</w:t>
      </w:r>
    </w:p>
    <w:p>
      <w:pPr>
        <w:pStyle w:val="3"/>
        <w:spacing w:after="0" w:line="312" w:lineRule="auto"/>
        <w:ind w:firstLine="420"/>
        <w:rPr>
          <w:rFonts w:ascii="宋体" w:hAnsi="宋体" w:eastAsia="宋体" w:cs="宋体"/>
          <w:sz w:val="24"/>
          <w:lang w:val="en-US"/>
        </w:rPr>
      </w:pPr>
      <w:r>
        <w:rPr>
          <w:rFonts w:hint="eastAsia" w:ascii="宋体" w:hAnsi="宋体" w:eastAsia="宋体" w:cs="宋体"/>
          <w:sz w:val="24"/>
          <w:lang w:val="en-US"/>
        </w:rPr>
        <w:t>实施工程师：项目驻场实施工程师需有2年以上本厂商同等项目实施经验。</w:t>
      </w:r>
    </w:p>
    <w:p>
      <w:pPr>
        <w:spacing w:line="312"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.3因厂商与院方存在对需求理解有差异的可能性，要求所有功能需求的响应以院方意见为准。</w:t>
      </w:r>
    </w:p>
    <w:p>
      <w:pPr>
        <w:pStyle w:val="3"/>
        <w:spacing w:after="0" w:line="312" w:lineRule="auto"/>
        <w:rPr>
          <w:lang w:val="en-US"/>
        </w:rPr>
      </w:pPr>
    </w:p>
    <w:p>
      <w:pPr>
        <w:pStyle w:val="2"/>
        <w:numPr>
          <w:ilvl w:val="0"/>
          <w:numId w:val="0"/>
        </w:numPr>
        <w:spacing w:before="0" w:after="0" w:line="312" w:lineRule="auto"/>
        <w:rPr>
          <w:rFonts w:ascii="宋体" w:hAnsi="宋体"/>
          <w:bCs w:val="0"/>
          <w:sz w:val="32"/>
          <w:szCs w:val="32"/>
        </w:rPr>
      </w:pPr>
      <w:r>
        <w:rPr>
          <w:rFonts w:hint="eastAsia" w:ascii="宋体" w:hAnsi="宋体"/>
          <w:bCs w:val="0"/>
          <w:sz w:val="32"/>
          <w:szCs w:val="32"/>
        </w:rPr>
        <w:t>四、售后服务及其他要求</w:t>
      </w:r>
    </w:p>
    <w:p>
      <w:pPr>
        <w:spacing w:line="312" w:lineRule="auto"/>
        <w:ind w:firstLine="420"/>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.1自本项目整体最终验收之日起，所有产品要求提供</w:t>
      </w:r>
      <w:r>
        <w:rPr>
          <w:rFonts w:hint="eastAsia" w:ascii="宋体" w:hAnsi="宋体" w:cs="宋体"/>
          <w:b/>
          <w:bCs/>
          <w:sz w:val="24"/>
          <w:szCs w:val="24"/>
        </w:rPr>
        <w:t>一年</w:t>
      </w:r>
      <w:r>
        <w:rPr>
          <w:rFonts w:hint="eastAsia" w:ascii="宋体" w:hAnsi="宋体" w:cs="宋体"/>
          <w:sz w:val="24"/>
          <w:szCs w:val="24"/>
        </w:rPr>
        <w:t>的免费质保服务。含软硬件维护和系统软件升级、技术支持服务、系统管理及操作培训。请详细说明售后服务的内容。</w:t>
      </w:r>
    </w:p>
    <w:p>
      <w:pPr>
        <w:spacing w:line="312" w:lineRule="auto"/>
        <w:ind w:firstLine="420"/>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.2安装调试要求：免费送货上门、安装调试、提供完善的设备及软件系统使用中文操作手册、图纸、网络详细拓扑图、系统配置、功能配置、设备配置及互联记录；</w:t>
      </w:r>
    </w:p>
    <w:p>
      <w:pPr>
        <w:spacing w:line="312" w:lineRule="auto"/>
        <w:ind w:firstLine="420"/>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.3原厂技术人员免费提供售后服务，含电话支持、现场响应、远程操作、网上客服中心等多种方式服务，应做到7×24小时全天候电话或微信等常用联系方式响应。</w:t>
      </w:r>
      <w:bookmarkStart w:id="1" w:name="_Toc507405798"/>
      <w:r>
        <w:rPr>
          <w:rFonts w:hint="eastAsia" w:ascii="宋体" w:hAnsi="宋体" w:cs="宋体"/>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pPr>
        <w:spacing w:line="312" w:lineRule="auto"/>
        <w:ind w:firstLine="420"/>
        <w:jc w:val="left"/>
        <w:rPr>
          <w:rFonts w:ascii="宋体" w:hAnsi="宋体" w:cs="宋体"/>
          <w:sz w:val="24"/>
          <w:szCs w:val="24"/>
        </w:rPr>
      </w:pPr>
      <w:r>
        <w:rPr>
          <w:rFonts w:ascii="宋体" w:hAnsi="宋体" w:eastAsia="宋体" w:cs="微软雅黑"/>
          <w:sz w:val="24"/>
          <w:szCs w:val="24"/>
        </w:rPr>
        <w:t>4</w:t>
      </w:r>
      <w:r>
        <w:rPr>
          <w:rFonts w:hint="eastAsia" w:ascii="宋体" w:hAnsi="宋体" w:eastAsia="宋体" w:cs="微软雅黑"/>
          <w:sz w:val="24"/>
          <w:szCs w:val="24"/>
        </w:rPr>
        <w:t>.4</w:t>
      </w:r>
      <w:r>
        <w:rPr>
          <w:rFonts w:hint="eastAsia" w:ascii="宋体" w:hAnsi="宋体" w:cs="宋体"/>
          <w:sz w:val="24"/>
          <w:szCs w:val="24"/>
        </w:rPr>
        <w:t>供应商提供原厂技术人员定期回访服务，定期通过电话或其他方式访问用户，了解产品使用情况，须在半年进行一次现场巡检，并形成书面巡检服务报告，加盖有效公章并反馈给我院（要求提供巡检报告模板，内容涉及此项目相关设备的运行情况及现场巡检照片）。</w:t>
      </w:r>
    </w:p>
    <w:p>
      <w:pPr>
        <w:pStyle w:val="3"/>
        <w:spacing w:after="0" w:line="312" w:lineRule="auto"/>
        <w:rPr>
          <w:rFonts w:ascii="宋体" w:hAnsi="宋体" w:eastAsia="宋体" w:cs="宋体"/>
          <w:b/>
          <w:bCs/>
          <w:sz w:val="28"/>
          <w:lang w:val="en-US"/>
        </w:rPr>
      </w:pPr>
      <w:r>
        <w:rPr>
          <w:rFonts w:hint="eastAsia" w:ascii="宋体" w:hAnsi="宋体" w:eastAsia="宋体" w:cs="宋体"/>
          <w:b/>
          <w:bCs/>
          <w:sz w:val="28"/>
          <w:lang w:val="en-US"/>
        </w:rPr>
        <w:t>五、违约责任</w:t>
      </w:r>
    </w:p>
    <w:p>
      <w:pPr>
        <w:spacing w:line="312" w:lineRule="auto"/>
        <w:ind w:firstLine="480" w:firstLineChars="200"/>
        <w:jc w:val="left"/>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.1投标方所提供的产品</w:t>
      </w:r>
      <w:r>
        <w:rPr>
          <w:rFonts w:ascii="宋体" w:hAnsi="宋体" w:eastAsia="宋体" w:cs="宋体"/>
          <w:sz w:val="24"/>
          <w:szCs w:val="24"/>
        </w:rPr>
        <w:t>/</w:t>
      </w:r>
      <w:r>
        <w:rPr>
          <w:rFonts w:hint="eastAsia" w:ascii="宋体" w:hAnsi="宋体" w:eastAsia="宋体" w:cs="宋体"/>
          <w:sz w:val="24"/>
          <w:szCs w:val="24"/>
        </w:rPr>
        <w:t>软件规格、技术标准、材料等质量不合格的，应及时更换，更换不及时的按逾期交货</w:t>
      </w:r>
      <w:r>
        <w:rPr>
          <w:rFonts w:ascii="宋体" w:hAnsi="宋体" w:eastAsia="宋体" w:cs="宋体"/>
          <w:sz w:val="24"/>
          <w:szCs w:val="24"/>
        </w:rPr>
        <w:t>/</w:t>
      </w:r>
      <w:r>
        <w:rPr>
          <w:rFonts w:hint="eastAsia" w:ascii="宋体" w:hAnsi="宋体" w:eastAsia="宋体" w:cs="宋体"/>
          <w:sz w:val="24"/>
          <w:szCs w:val="24"/>
        </w:rPr>
        <w:t>交付处罚；因质量问题我院不同意接收，投标方应向我院支付违约货款额5%违约金并赔偿我院经济损失。</w:t>
      </w:r>
    </w:p>
    <w:p>
      <w:pPr>
        <w:spacing w:line="312" w:lineRule="auto"/>
        <w:ind w:firstLine="480" w:firstLineChars="200"/>
        <w:jc w:val="left"/>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.2若投标方提供的产品或软件侵犯了第三方合法权益而引发的任何纠纷或诉讼，均由投标方负责交涉并承担全部责任。</w:t>
      </w:r>
    </w:p>
    <w:p>
      <w:pPr>
        <w:spacing w:line="312" w:lineRule="auto"/>
        <w:ind w:firstLine="420"/>
        <w:jc w:val="left"/>
        <w:rPr>
          <w:rFonts w:ascii="宋体" w:hAnsi="宋体" w:eastAsia="宋体" w:cs="宋体"/>
          <w:sz w:val="24"/>
          <w:szCs w:val="24"/>
        </w:rPr>
      </w:pPr>
      <w:r>
        <w:rPr>
          <w:rFonts w:ascii="宋体" w:hAnsi="宋体" w:eastAsia="宋体" w:cs="宋体"/>
          <w:sz w:val="24"/>
          <w:szCs w:val="24"/>
        </w:rPr>
        <w:t>5.3</w:t>
      </w:r>
      <w:r>
        <w:rPr>
          <w:rFonts w:hint="eastAsia" w:ascii="宋体" w:hAnsi="宋体" w:eastAsia="宋体" w:cs="宋体"/>
          <w:sz w:val="24"/>
          <w:szCs w:val="24"/>
        </w:rPr>
        <w:t>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pPr>
        <w:pStyle w:val="3"/>
        <w:spacing w:after="0" w:line="312" w:lineRule="auto"/>
        <w:ind w:firstLine="420"/>
        <w:rPr>
          <w:rFonts w:ascii="宋体" w:hAnsi="宋体" w:eastAsia="宋体" w:cs="宋体"/>
          <w:sz w:val="24"/>
          <w:lang w:val="en-US"/>
        </w:rPr>
      </w:pPr>
      <w:r>
        <w:rPr>
          <w:rFonts w:ascii="宋体" w:hAnsi="宋体" w:eastAsia="宋体" w:cs="宋体"/>
          <w:sz w:val="24"/>
          <w:lang w:val="en-US"/>
        </w:rPr>
        <w:t>5.4</w:t>
      </w:r>
      <w:r>
        <w:rPr>
          <w:rFonts w:hint="eastAsia" w:ascii="宋体" w:hAnsi="宋体" w:eastAsia="宋体" w:cs="宋体"/>
          <w:sz w:val="24"/>
        </w:rPr>
        <w:t> 投标方逾期交货</w:t>
      </w:r>
      <w:r>
        <w:rPr>
          <w:rFonts w:ascii="宋体" w:hAnsi="宋体" w:eastAsia="宋体" w:cs="宋体"/>
          <w:sz w:val="24"/>
          <w:lang w:val="en-US"/>
        </w:rPr>
        <w:t>/</w:t>
      </w:r>
      <w:r>
        <w:rPr>
          <w:rFonts w:hint="eastAsia" w:ascii="宋体" w:hAnsi="宋体" w:eastAsia="宋体" w:cs="宋体"/>
          <w:sz w:val="24"/>
          <w:lang w:val="en-US"/>
        </w:rPr>
        <w:t>交付</w:t>
      </w:r>
      <w:r>
        <w:rPr>
          <w:rFonts w:hint="eastAsia" w:ascii="宋体" w:hAnsi="宋体" w:eastAsia="宋体" w:cs="宋体"/>
          <w:sz w:val="24"/>
        </w:rPr>
        <w:t>的，每天向甲方偿付违约货款额</w:t>
      </w:r>
      <w:r>
        <w:rPr>
          <w:rFonts w:ascii="宋体" w:hAnsi="宋体" w:eastAsia="宋体" w:cs="宋体"/>
          <w:sz w:val="24"/>
        </w:rPr>
        <w:t>3</w:t>
      </w:r>
      <w:r>
        <w:rPr>
          <w:rFonts w:hint="eastAsia" w:ascii="宋体" w:hAnsi="宋体" w:eastAsia="宋体" w:cs="宋体"/>
          <w:sz w:val="24"/>
        </w:rPr>
        <w:t>‰违约金，但违约金累计不得超过违约货款额</w:t>
      </w:r>
      <w:r>
        <w:rPr>
          <w:rFonts w:ascii="宋体" w:hAnsi="宋体" w:eastAsia="宋体" w:cs="宋体"/>
          <w:sz w:val="24"/>
        </w:rPr>
        <w:t xml:space="preserve"> 5% </w:t>
      </w:r>
      <w:r>
        <w:rPr>
          <w:rFonts w:hint="eastAsia" w:ascii="宋体" w:hAnsi="宋体" w:eastAsia="宋体" w:cs="宋体"/>
          <w:sz w:val="24"/>
        </w:rPr>
        <w:t>，超过</w:t>
      </w:r>
      <w:r>
        <w:rPr>
          <w:rFonts w:ascii="宋体" w:hAnsi="宋体" w:eastAsia="宋体" w:cs="宋体"/>
          <w:sz w:val="24"/>
        </w:rPr>
        <w:t>30</w:t>
      </w:r>
      <w:r>
        <w:rPr>
          <w:rFonts w:hint="eastAsia" w:ascii="宋体" w:hAnsi="宋体" w:eastAsia="宋体" w:cs="宋体"/>
          <w:sz w:val="24"/>
        </w:rPr>
        <w:t>天对方有权解除合同，违约方承担因此给对方造成的经济损失；</w:t>
      </w:r>
    </w:p>
    <w:p>
      <w:pPr>
        <w:pStyle w:val="3"/>
        <w:spacing w:after="0" w:line="312" w:lineRule="auto"/>
        <w:ind w:firstLine="420"/>
        <w:rPr>
          <w:rFonts w:ascii="宋体" w:hAnsi="宋体" w:eastAsia="宋体" w:cs="宋体"/>
          <w:sz w:val="24"/>
          <w:lang w:val="en-US"/>
        </w:rPr>
      </w:pPr>
      <w:r>
        <w:rPr>
          <w:rFonts w:ascii="宋体" w:hAnsi="宋体" w:eastAsia="宋体" w:cs="宋体"/>
          <w:sz w:val="24"/>
          <w:lang w:val="en-US"/>
        </w:rPr>
        <w:t>5.5</w:t>
      </w:r>
      <w:r>
        <w:rPr>
          <w:rFonts w:hint="eastAsia" w:ascii="宋体" w:hAnsi="宋体" w:eastAsia="宋体" w:cs="宋体"/>
          <w:sz w:val="24"/>
          <w:lang w:val="en-US"/>
        </w:rPr>
        <w:t>售后服务违约：</w:t>
      </w:r>
    </w:p>
    <w:p>
      <w:pPr>
        <w:pStyle w:val="3"/>
        <w:spacing w:after="0" w:line="312" w:lineRule="auto"/>
        <w:ind w:firstLine="420"/>
        <w:rPr>
          <w:rFonts w:ascii="宋体" w:hAnsi="宋体" w:eastAsia="宋体" w:cs="宋体"/>
          <w:sz w:val="24"/>
          <w:lang w:val="en-US"/>
        </w:rPr>
      </w:pPr>
      <w:r>
        <w:rPr>
          <w:rFonts w:ascii="宋体" w:hAnsi="宋体" w:eastAsia="宋体" w:cs="宋体"/>
          <w:sz w:val="24"/>
          <w:lang w:val="en-US"/>
        </w:rPr>
        <w:t>5.5.1</w:t>
      </w:r>
      <w:r>
        <w:rPr>
          <w:rFonts w:hint="eastAsia" w:ascii="宋体" w:hAnsi="宋体" w:eastAsia="宋体" w:cs="宋体"/>
          <w:sz w:val="24"/>
          <w:lang w:val="en-US"/>
        </w:rPr>
        <w:t>每缺少</w:t>
      </w:r>
      <w:r>
        <w:rPr>
          <w:rFonts w:ascii="宋体" w:hAnsi="宋体" w:eastAsia="宋体" w:cs="宋体"/>
          <w:sz w:val="24"/>
          <w:lang w:val="en-US"/>
        </w:rPr>
        <w:t>1</w:t>
      </w:r>
      <w:r>
        <w:rPr>
          <w:rFonts w:hint="eastAsia" w:ascii="宋体" w:hAnsi="宋体" w:eastAsia="宋体" w:cs="宋体"/>
          <w:sz w:val="24"/>
          <w:lang w:val="en-US"/>
        </w:rPr>
        <w:t>次现场巡检记录，投标方应向甲方支付违约金</w:t>
      </w:r>
      <w:r>
        <w:rPr>
          <w:rFonts w:ascii="宋体" w:hAnsi="宋体" w:eastAsia="宋体" w:cs="宋体"/>
          <w:sz w:val="24"/>
          <w:lang w:val="en-US"/>
        </w:rPr>
        <w:t>500</w:t>
      </w:r>
      <w:r>
        <w:rPr>
          <w:rFonts w:hint="eastAsia" w:ascii="宋体" w:hAnsi="宋体" w:eastAsia="宋体" w:cs="宋体"/>
          <w:sz w:val="24"/>
          <w:lang w:val="en-US"/>
        </w:rPr>
        <w:t>元；</w:t>
      </w:r>
    </w:p>
    <w:p>
      <w:pPr>
        <w:pStyle w:val="3"/>
        <w:spacing w:after="0" w:line="312" w:lineRule="auto"/>
        <w:ind w:firstLine="420"/>
        <w:rPr>
          <w:rFonts w:ascii="宋体" w:hAnsi="宋体" w:eastAsia="宋体" w:cs="宋体"/>
          <w:sz w:val="24"/>
          <w:lang w:val="en-US"/>
        </w:rPr>
      </w:pPr>
      <w:r>
        <w:rPr>
          <w:rFonts w:ascii="宋体" w:hAnsi="宋体" w:eastAsia="宋体" w:cs="宋体"/>
          <w:sz w:val="24"/>
          <w:lang w:val="en-US"/>
        </w:rPr>
        <w:t>5.5.2</w:t>
      </w:r>
      <w:r>
        <w:rPr>
          <w:rFonts w:hint="eastAsia" w:ascii="宋体" w:hAnsi="宋体" w:eastAsia="宋体" w:cs="宋体"/>
          <w:sz w:val="24"/>
          <w:lang w:val="en-US"/>
        </w:rPr>
        <w:t>不能按本技术参数文档第</w:t>
      </w:r>
      <w:r>
        <w:rPr>
          <w:rFonts w:ascii="宋体" w:hAnsi="宋体" w:eastAsia="宋体" w:cs="宋体"/>
          <w:sz w:val="24"/>
          <w:lang w:val="en-US"/>
        </w:rPr>
        <w:t>4.3</w:t>
      </w:r>
      <w:r>
        <w:rPr>
          <w:rFonts w:hint="eastAsia" w:ascii="宋体" w:hAnsi="宋体" w:eastAsia="宋体" w:cs="宋体"/>
          <w:sz w:val="24"/>
          <w:lang w:val="en-US"/>
        </w:rPr>
        <w:t>要求中按时提供设备备件的，故障上报</w:t>
      </w:r>
      <w:r>
        <w:rPr>
          <w:rFonts w:hint="eastAsia" w:ascii="宋体" w:hAnsi="宋体" w:eastAsia="宋体" w:cs="宋体"/>
          <w:sz w:val="24"/>
          <w:highlight w:val="none"/>
          <w:lang w:val="en-US" w:eastAsia="zh-CN"/>
        </w:rPr>
        <w:t>72</w:t>
      </w:r>
      <w:r>
        <w:rPr>
          <w:rFonts w:hint="eastAsia" w:ascii="宋体" w:hAnsi="宋体" w:eastAsia="宋体" w:cs="宋体"/>
          <w:sz w:val="24"/>
          <w:lang w:val="en-US"/>
        </w:rPr>
        <w:t>小时不能免费提供同档次或更高档次的备用设备解决问题，每超期一天，按</w:t>
      </w:r>
      <w:r>
        <w:rPr>
          <w:rFonts w:ascii="宋体" w:hAnsi="宋体" w:eastAsia="宋体" w:cs="宋体"/>
          <w:sz w:val="24"/>
          <w:lang w:val="en-US"/>
        </w:rPr>
        <w:t>500</w:t>
      </w:r>
      <w:r>
        <w:rPr>
          <w:rFonts w:hint="eastAsia" w:ascii="宋体" w:hAnsi="宋体" w:eastAsia="宋体" w:cs="宋体"/>
          <w:sz w:val="24"/>
          <w:lang w:val="en-US"/>
        </w:rPr>
        <w:t>元</w:t>
      </w:r>
      <w:r>
        <w:rPr>
          <w:rFonts w:ascii="宋体" w:hAnsi="宋体" w:eastAsia="宋体" w:cs="宋体"/>
          <w:sz w:val="24"/>
          <w:lang w:val="en-US"/>
        </w:rPr>
        <w:t>/</w:t>
      </w:r>
      <w:r>
        <w:rPr>
          <w:rFonts w:hint="eastAsia" w:ascii="宋体" w:hAnsi="宋体" w:eastAsia="宋体" w:cs="宋体"/>
          <w:sz w:val="24"/>
          <w:lang w:val="en-US"/>
        </w:rPr>
        <w:t>天向甲方支付违约金；</w:t>
      </w:r>
    </w:p>
    <w:p>
      <w:pPr>
        <w:pStyle w:val="3"/>
        <w:spacing w:after="0" w:line="312" w:lineRule="auto"/>
        <w:ind w:firstLine="420"/>
        <w:rPr>
          <w:rFonts w:ascii="宋体" w:hAnsi="宋体" w:eastAsia="宋体" w:cs="宋体"/>
          <w:sz w:val="24"/>
          <w:lang w:val="en-US"/>
        </w:rPr>
      </w:pPr>
      <w:r>
        <w:rPr>
          <w:rFonts w:ascii="宋体" w:hAnsi="宋体" w:eastAsia="宋体" w:cs="宋体"/>
          <w:sz w:val="24"/>
          <w:lang w:val="en-US"/>
        </w:rPr>
        <w:t>5.5.3 </w:t>
      </w:r>
      <w:r>
        <w:rPr>
          <w:rFonts w:hint="eastAsia" w:ascii="宋体" w:hAnsi="宋体" w:eastAsia="宋体" w:cs="宋体"/>
          <w:sz w:val="24"/>
          <w:lang w:val="en-US"/>
        </w:rPr>
        <w:t>投标方未按本技术要求和响应文件中规定的其他服务承诺提供售后服务的，每次投标方应按合同合计金额的</w:t>
      </w:r>
      <w:r>
        <w:rPr>
          <w:rFonts w:ascii="宋体" w:hAnsi="宋体" w:eastAsia="宋体" w:cs="宋体"/>
          <w:sz w:val="24"/>
          <w:lang w:val="en-US"/>
        </w:rPr>
        <w:t xml:space="preserve">5% </w:t>
      </w:r>
      <w:r>
        <w:rPr>
          <w:rFonts w:hint="eastAsia" w:ascii="宋体" w:hAnsi="宋体" w:eastAsia="宋体" w:cs="宋体"/>
          <w:sz w:val="24"/>
          <w:lang w:val="en-US"/>
        </w:rPr>
        <w:t>向甲方支付违约金。</w:t>
      </w:r>
    </w:p>
    <w:p>
      <w:pPr>
        <w:pStyle w:val="3"/>
        <w:spacing w:after="0" w:line="312" w:lineRule="auto"/>
        <w:ind w:firstLine="420"/>
        <w:rPr>
          <w:rFonts w:ascii="宋体" w:hAnsi="宋体" w:eastAsia="宋体" w:cs="宋体"/>
          <w:sz w:val="24"/>
          <w:lang w:val="en-US"/>
        </w:rPr>
      </w:pPr>
      <w:r>
        <w:rPr>
          <w:rFonts w:ascii="宋体" w:hAnsi="宋体" w:eastAsia="宋体" w:cs="宋体"/>
          <w:sz w:val="24"/>
        </w:rPr>
        <w:t>5.6</w:t>
      </w:r>
      <w:r>
        <w:rPr>
          <w:rFonts w:hint="eastAsia" w:ascii="宋体" w:hAnsi="宋体" w:eastAsia="宋体" w:cs="宋体"/>
          <w:sz w:val="24"/>
        </w:rPr>
        <w:t>合同签订后</w:t>
      </w:r>
      <w:r>
        <w:rPr>
          <w:rFonts w:ascii="宋体" w:hAnsi="宋体" w:eastAsia="宋体" w:cs="宋体"/>
          <w:sz w:val="24"/>
        </w:rPr>
        <w:t>5</w:t>
      </w:r>
      <w:r>
        <w:rPr>
          <w:rFonts w:hint="eastAsia" w:ascii="宋体" w:hAnsi="宋体" w:eastAsia="宋体" w:cs="宋体"/>
          <w:sz w:val="24"/>
        </w:rPr>
        <w:t>个工作日内进场实施，每个模块计划实施周期需在合同内写明。因软件提供商原因逾期不进场实施的，需按每天向院方支付合同款金额3‰作为违约金，超过30天，甲有权解除合同，乙方需承担因此给院方造成的经济损失；</w:t>
      </w:r>
      <w:r>
        <w:rPr>
          <w:rFonts w:hint="eastAsia" w:ascii="宋体" w:hAnsi="宋体" w:eastAsia="宋体" w:cs="宋体"/>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做为违约金支付给甲方。</w:t>
      </w:r>
    </w:p>
    <w:p>
      <w:pPr>
        <w:pStyle w:val="3"/>
        <w:spacing w:after="0" w:line="312" w:lineRule="auto"/>
        <w:ind w:firstLine="420"/>
        <w:rPr>
          <w:rFonts w:ascii="宋体" w:hAnsi="宋体" w:eastAsia="宋体" w:cs="宋体"/>
          <w:sz w:val="24"/>
          <w:lang w:val="en-US"/>
        </w:rPr>
      </w:pPr>
      <w:r>
        <w:rPr>
          <w:rFonts w:ascii="宋体" w:hAnsi="宋体" w:eastAsia="宋体" w:cs="宋体"/>
          <w:sz w:val="24"/>
          <w:lang w:val="en-US"/>
        </w:rPr>
        <w:t>5</w:t>
      </w:r>
      <w:r>
        <w:rPr>
          <w:rFonts w:hint="eastAsia" w:ascii="宋体" w:hAnsi="宋体" w:eastAsia="宋体" w:cs="宋体"/>
          <w:sz w:val="24"/>
          <w:lang w:val="en-US"/>
        </w:rPr>
        <w:t>.7任何一方违反本技术要求中“保密、廉洁条款”要求的，应承担相应的违约责任并赔偿由此造成的损失，损失累计金额超过合同款项的5%的，损失方同时有权终止合同并收回已付款项。</w:t>
      </w:r>
    </w:p>
    <w:p>
      <w:pPr>
        <w:pStyle w:val="3"/>
        <w:spacing w:after="0" w:line="312" w:lineRule="auto"/>
        <w:ind w:firstLine="420"/>
        <w:rPr>
          <w:rFonts w:ascii="宋体" w:hAnsi="宋体" w:eastAsia="宋体" w:cs="宋体"/>
          <w:sz w:val="24"/>
          <w:lang w:val="en-US"/>
        </w:rPr>
      </w:pPr>
      <w:r>
        <w:rPr>
          <w:rFonts w:ascii="宋体" w:hAnsi="宋体" w:eastAsia="宋体" w:cs="宋体"/>
          <w:sz w:val="24"/>
          <w:lang w:val="en-US"/>
        </w:rPr>
        <w:t>5</w:t>
      </w:r>
      <w:r>
        <w:rPr>
          <w:rFonts w:hint="eastAsia" w:ascii="宋体" w:hAnsi="宋体" w:eastAsia="宋体" w:cs="宋体"/>
          <w:sz w:val="24"/>
          <w:lang w:val="en-US"/>
        </w:rPr>
        <w:t>.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pPr>
        <w:pStyle w:val="3"/>
        <w:spacing w:after="0" w:line="312" w:lineRule="auto"/>
        <w:ind w:firstLine="420"/>
        <w:rPr>
          <w:rFonts w:ascii="宋体" w:hAnsi="宋体" w:eastAsia="宋体" w:cs="宋体"/>
          <w:kern w:val="2"/>
          <w:sz w:val="24"/>
          <w:lang w:val="en-US"/>
        </w:rPr>
      </w:pPr>
      <w:r>
        <w:rPr>
          <w:rFonts w:ascii="宋体" w:hAnsi="宋体" w:eastAsia="宋体" w:cs="宋体"/>
          <w:kern w:val="2"/>
          <w:sz w:val="24"/>
          <w:lang w:val="en-US"/>
        </w:rPr>
        <w:t>5</w:t>
      </w:r>
      <w:r>
        <w:rPr>
          <w:rFonts w:hint="eastAsia" w:ascii="宋体" w:hAnsi="宋体" w:eastAsia="宋体" w:cs="宋体"/>
          <w:kern w:val="2"/>
          <w:sz w:val="24"/>
          <w:lang w:val="en-US"/>
        </w:rPr>
        <w:t>.9厂商不得在提供的硬件及软件系统中设置包括且不限于如：软硬件加密狗、加密软件、时间锁等限制硬件及软件系统正常运行的措施，</w:t>
      </w:r>
      <w:r>
        <w:rPr>
          <w:rFonts w:ascii="宋体" w:hAnsi="宋体" w:cs="宋体"/>
          <w:kern w:val="2"/>
          <w:sz w:val="24"/>
          <w:lang w:val="en-US"/>
        </w:rPr>
        <w:t>如有</w:t>
      </w:r>
      <w:r>
        <w:rPr>
          <w:rFonts w:hint="eastAsia" w:ascii="宋体" w:hAnsi="宋体" w:cs="宋体"/>
          <w:kern w:val="2"/>
          <w:sz w:val="24"/>
          <w:lang w:val="en-US"/>
        </w:rPr>
        <w:t>特殊</w:t>
      </w:r>
      <w:r>
        <w:rPr>
          <w:rFonts w:ascii="宋体" w:hAnsi="宋体" w:cs="宋体"/>
          <w:kern w:val="2"/>
          <w:sz w:val="24"/>
          <w:lang w:val="en-US"/>
        </w:rPr>
        <w:t>需要</w:t>
      </w:r>
      <w:r>
        <w:rPr>
          <w:rFonts w:hint="eastAsia" w:ascii="宋体" w:hAnsi="宋体" w:cs="宋体"/>
          <w:kern w:val="2"/>
          <w:sz w:val="24"/>
          <w:lang w:val="en-US"/>
        </w:rPr>
        <w:t>必须提交</w:t>
      </w:r>
      <w:r>
        <w:rPr>
          <w:rFonts w:ascii="宋体" w:hAnsi="宋体" w:cs="宋体"/>
          <w:kern w:val="2"/>
          <w:sz w:val="24"/>
          <w:lang w:val="en-US"/>
        </w:rPr>
        <w:t>纸质</w:t>
      </w:r>
      <w:r>
        <w:rPr>
          <w:rFonts w:hint="eastAsia" w:ascii="宋体" w:hAnsi="宋体" w:cs="宋体"/>
          <w:kern w:val="2"/>
          <w:sz w:val="24"/>
          <w:lang w:val="en-US"/>
        </w:rPr>
        <w:t>文件说明</w:t>
      </w:r>
      <w:r>
        <w:rPr>
          <w:rFonts w:ascii="宋体" w:hAnsi="宋体" w:cs="宋体"/>
          <w:kern w:val="2"/>
          <w:sz w:val="24"/>
          <w:lang w:val="en-US"/>
        </w:rPr>
        <w:t>，经过我院</w:t>
      </w:r>
      <w:r>
        <w:rPr>
          <w:rFonts w:hint="eastAsia" w:ascii="宋体" w:hAnsi="宋体" w:cs="宋体"/>
          <w:kern w:val="2"/>
          <w:sz w:val="24"/>
          <w:lang w:val="en-US"/>
        </w:rPr>
        <w:t>签字同意</w:t>
      </w:r>
      <w:r>
        <w:rPr>
          <w:rFonts w:ascii="宋体" w:hAnsi="宋体" w:cs="宋体"/>
          <w:kern w:val="2"/>
          <w:sz w:val="24"/>
          <w:lang w:val="en-US"/>
        </w:rPr>
        <w:t>才可设置</w:t>
      </w:r>
      <w:r>
        <w:rPr>
          <w:rFonts w:hint="eastAsia" w:ascii="宋体" w:hAnsi="宋体" w:cs="宋体"/>
          <w:kern w:val="2"/>
          <w:sz w:val="24"/>
          <w:lang w:val="en-US"/>
        </w:rPr>
        <w:t>，</w:t>
      </w:r>
      <w:r>
        <w:rPr>
          <w:rFonts w:hint="eastAsia" w:ascii="宋体" w:hAnsi="宋体" w:eastAsia="宋体" w:cs="宋体"/>
          <w:kern w:val="2"/>
          <w:sz w:val="24"/>
          <w:lang w:val="en-US"/>
        </w:rPr>
        <w:t>否则视为乙方违约，乙方需要支付医院违约金</w:t>
      </w:r>
      <w:r>
        <w:rPr>
          <w:rFonts w:ascii="宋体" w:hAnsi="宋体" w:eastAsia="宋体" w:cs="宋体"/>
          <w:kern w:val="2"/>
          <w:sz w:val="24"/>
          <w:lang w:val="en-US"/>
        </w:rPr>
        <w:t>10</w:t>
      </w:r>
      <w:r>
        <w:rPr>
          <w:rFonts w:hint="eastAsia" w:ascii="宋体" w:hAnsi="宋体" w:eastAsia="宋体" w:cs="宋体"/>
          <w:kern w:val="2"/>
          <w:sz w:val="24"/>
          <w:lang w:val="en-US"/>
        </w:rPr>
        <w:t>0000元（壹拾万元），在此基础上医院有权要求乙方退回甲方已支付的所有款项。如对医院造成损失的，甲方有权要求乙方赔偿。</w:t>
      </w:r>
    </w:p>
    <w:p>
      <w:pPr>
        <w:pStyle w:val="3"/>
        <w:spacing w:after="0" w:line="312" w:lineRule="auto"/>
        <w:ind w:firstLine="420"/>
        <w:rPr>
          <w:rFonts w:ascii="宋体" w:hAnsi="宋体" w:eastAsia="宋体" w:cs="宋体"/>
          <w:sz w:val="24"/>
          <w:lang w:val="en-US"/>
        </w:rPr>
      </w:pPr>
      <w:r>
        <w:rPr>
          <w:rFonts w:ascii="宋体" w:hAnsi="宋体" w:eastAsia="宋体" w:cs="宋体"/>
          <w:sz w:val="24"/>
          <w:lang w:val="en-US"/>
        </w:rPr>
        <w:t>5</w:t>
      </w:r>
      <w:r>
        <w:rPr>
          <w:rFonts w:hint="eastAsia" w:ascii="宋体" w:hAnsi="宋体" w:eastAsia="宋体" w:cs="宋体"/>
          <w:sz w:val="24"/>
          <w:lang w:val="en-US"/>
        </w:rPr>
        <w:t>.1</w:t>
      </w:r>
      <w:r>
        <w:rPr>
          <w:rFonts w:ascii="宋体" w:hAnsi="宋体" w:eastAsia="宋体" w:cs="宋体"/>
          <w:sz w:val="24"/>
          <w:lang w:val="en-US"/>
        </w:rPr>
        <w:t>0</w:t>
      </w:r>
      <w:r>
        <w:rPr>
          <w:rFonts w:hint="eastAsia" w:ascii="宋体" w:hAnsi="宋体" w:eastAsia="宋体" w:cs="宋体"/>
          <w:sz w:val="24"/>
          <w:lang w:val="en-US"/>
        </w:rPr>
        <w:t>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bookmarkEnd w:id="1"/>
    <w:p>
      <w:pPr>
        <w:pStyle w:val="3"/>
        <w:spacing w:after="0" w:line="312" w:lineRule="auto"/>
        <w:rPr>
          <w:rFonts w:ascii="宋体" w:hAnsi="宋体" w:eastAsia="宋体" w:cs="宋体"/>
          <w:b/>
          <w:bCs/>
          <w:sz w:val="28"/>
          <w:lang w:val="en-US"/>
        </w:rPr>
      </w:pPr>
      <w:bookmarkStart w:id="2" w:name="_Toc507405799"/>
      <w:bookmarkStart w:id="3" w:name="_Toc507405800"/>
      <w:r>
        <w:rPr>
          <w:rFonts w:hint="eastAsia" w:ascii="宋体" w:hAnsi="宋体" w:eastAsia="宋体" w:cs="宋体"/>
          <w:b/>
          <w:bCs/>
          <w:sz w:val="28"/>
          <w:lang w:val="en-US"/>
        </w:rPr>
        <w:t>六、保密、廉洁协议</w:t>
      </w:r>
    </w:p>
    <w:p>
      <w:pPr>
        <w:spacing w:line="312" w:lineRule="auto"/>
        <w:ind w:firstLine="480" w:firstLineChars="200"/>
        <w:jc w:val="left"/>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spacing w:line="312" w:lineRule="auto"/>
        <w:ind w:firstLine="480" w:firstLineChars="200"/>
        <w:jc w:val="left"/>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.2 双方不得以任何方式向第三方泄露本项目的软件技术、设计方案以及功能配置等内容。</w:t>
      </w:r>
    </w:p>
    <w:p>
      <w:pPr>
        <w:spacing w:line="312" w:lineRule="auto"/>
        <w:ind w:firstLine="480" w:firstLineChars="200"/>
        <w:jc w:val="left"/>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.3不以任何方式向第三方泄露在本协议开发实施过程中获取的经济、技术、数据以及双方其他非公开的信息。</w:t>
      </w:r>
    </w:p>
    <w:p>
      <w:pPr>
        <w:spacing w:line="312" w:lineRule="auto"/>
        <w:ind w:firstLine="480" w:firstLineChars="200"/>
        <w:jc w:val="left"/>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spacing w:line="312" w:lineRule="auto"/>
        <w:ind w:firstLine="480" w:firstLineChars="200"/>
        <w:jc w:val="left"/>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.5保密期限自本合同生效之日起永久有效，如乙方需解除保密协议需向甲方提出书面申请，双方协商同意签字确认后方可解除。</w:t>
      </w:r>
    </w:p>
    <w:p>
      <w:pPr>
        <w:pStyle w:val="3"/>
        <w:spacing w:after="0" w:line="312" w:lineRule="auto"/>
        <w:rPr>
          <w:lang w:val="en-US"/>
        </w:rPr>
      </w:pPr>
    </w:p>
    <w:p>
      <w:pPr>
        <w:pStyle w:val="3"/>
        <w:spacing w:after="0" w:line="312" w:lineRule="auto"/>
        <w:rPr>
          <w:rFonts w:ascii="宋体" w:hAnsi="宋体" w:eastAsia="宋体" w:cs="宋体"/>
          <w:b/>
          <w:bCs/>
          <w:sz w:val="28"/>
          <w:lang w:val="en-US"/>
        </w:rPr>
      </w:pPr>
      <w:r>
        <w:rPr>
          <w:rFonts w:hint="eastAsia" w:ascii="宋体" w:hAnsi="宋体" w:eastAsia="宋体" w:cs="宋体"/>
          <w:b/>
          <w:bCs/>
          <w:sz w:val="28"/>
          <w:lang w:val="en-US"/>
        </w:rPr>
        <w:t>七、报价</w:t>
      </w:r>
    </w:p>
    <w:p>
      <w:pPr>
        <w:pStyle w:val="3"/>
        <w:spacing w:after="0" w:line="312" w:lineRule="auto"/>
        <w:ind w:firstLine="420"/>
        <w:rPr>
          <w:rFonts w:ascii="宋体" w:hAnsi="宋体" w:eastAsia="宋体" w:cs="宋体"/>
          <w:sz w:val="24"/>
        </w:rPr>
      </w:pPr>
      <w:r>
        <w:rPr>
          <w:rFonts w:hint="eastAsia" w:ascii="宋体" w:hAnsi="宋体" w:eastAsia="宋体" w:cs="宋体"/>
          <w:sz w:val="24"/>
        </w:rPr>
        <w:t>竞标文件按系统模块报价，报价表价格包含系统软硬件费用。</w:t>
      </w:r>
    </w:p>
    <w:p>
      <w:pPr>
        <w:pStyle w:val="3"/>
        <w:spacing w:after="0" w:line="312" w:lineRule="auto"/>
        <w:ind w:firstLine="420"/>
        <w:rPr>
          <w:rFonts w:ascii="宋体" w:hAnsi="宋体" w:eastAsia="宋体" w:cs="宋体"/>
          <w:sz w:val="24"/>
        </w:rPr>
      </w:pPr>
      <w:r>
        <w:rPr>
          <w:rFonts w:hint="eastAsia" w:ascii="宋体" w:hAnsi="宋体" w:eastAsia="宋体" w:cs="宋体"/>
          <w:sz w:val="24"/>
        </w:rPr>
        <w:t>竞标文件需提供</w:t>
      </w:r>
      <w:r>
        <w:rPr>
          <w:rFonts w:hint="eastAsia" w:ascii="宋体" w:hAnsi="宋体" w:cs="宋体"/>
          <w:sz w:val="24"/>
        </w:rPr>
        <w:t>质保期后维保方案及费用</w:t>
      </w:r>
      <w:r>
        <w:rPr>
          <w:rFonts w:hint="eastAsia" w:ascii="宋体" w:hAnsi="宋体" w:eastAsia="宋体" w:cs="宋体"/>
          <w:sz w:val="24"/>
        </w:rPr>
        <w:t>。</w:t>
      </w:r>
    </w:p>
    <w:p>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如项目功能二次开发内容涉及我院采购的第三方产品，则我院协调第三方产品开发商提供相关二次开发需要的接口和其他信息。请在标书内标明哪些功能的实现需要我院提供二次开发接口。</w:t>
      </w:r>
    </w:p>
    <w:p>
      <w:pPr>
        <w:pStyle w:val="2"/>
        <w:numPr>
          <w:ilvl w:val="0"/>
          <w:numId w:val="0"/>
        </w:numPr>
        <w:spacing w:before="0" w:after="0" w:line="312" w:lineRule="auto"/>
        <w:rPr>
          <w:rFonts w:ascii="宋体" w:hAnsi="宋体"/>
          <w:bCs w:val="0"/>
          <w:sz w:val="32"/>
          <w:szCs w:val="32"/>
        </w:rPr>
      </w:pPr>
      <w:r>
        <w:rPr>
          <w:rFonts w:hint="eastAsia" w:ascii="宋体" w:hAnsi="宋体"/>
          <w:bCs w:val="0"/>
          <w:sz w:val="32"/>
          <w:szCs w:val="32"/>
        </w:rPr>
        <w:t>八、付款方式</w:t>
      </w:r>
      <w:bookmarkEnd w:id="2"/>
    </w:p>
    <w:p>
      <w:pPr>
        <w:spacing w:line="312" w:lineRule="auto"/>
        <w:ind w:firstLine="480" w:firstLineChars="200"/>
        <w:jc w:val="left"/>
        <w:rPr>
          <w:sz w:val="24"/>
          <w:lang w:val="en-US"/>
        </w:rPr>
      </w:pPr>
      <w:r>
        <w:rPr>
          <w:rFonts w:hint="eastAsia" w:ascii="宋体" w:hAnsi="宋体" w:eastAsia="宋体" w:cs="微软雅黑"/>
          <w:sz w:val="24"/>
          <w:szCs w:val="24"/>
        </w:rPr>
        <w:t>项目双方签订合同</w:t>
      </w:r>
      <w:r>
        <w:rPr>
          <w:rFonts w:hint="eastAsia" w:ascii="宋体" w:hAnsi="宋体" w:cs="微软雅黑"/>
          <w:sz w:val="24"/>
          <w:szCs w:val="24"/>
          <w:lang w:val="en-US" w:eastAsia="zh-CN"/>
        </w:rPr>
        <w:t>且设备全部到货，经用户确认收货后，</w:t>
      </w:r>
      <w:r>
        <w:rPr>
          <w:rFonts w:hint="eastAsia" w:ascii="宋体" w:hAnsi="宋体" w:eastAsia="宋体" w:cs="微软雅黑"/>
          <w:sz w:val="24"/>
          <w:szCs w:val="24"/>
        </w:rPr>
        <w:t>支付合同款项的</w:t>
      </w:r>
      <w:r>
        <w:rPr>
          <w:rFonts w:hint="eastAsia" w:ascii="宋体" w:hAnsi="宋体" w:cs="微软雅黑"/>
          <w:sz w:val="24"/>
          <w:szCs w:val="24"/>
          <w:lang w:val="en-US" w:eastAsia="zh-CN"/>
        </w:rPr>
        <w:t>30</w:t>
      </w:r>
      <w:r>
        <w:rPr>
          <w:rFonts w:hint="eastAsia" w:ascii="宋体" w:hAnsi="宋体" w:eastAsia="宋体" w:cs="微软雅黑"/>
          <w:sz w:val="24"/>
          <w:szCs w:val="24"/>
        </w:rPr>
        <w:t>%</w:t>
      </w:r>
      <w:r>
        <w:rPr>
          <w:rFonts w:hint="eastAsia" w:ascii="宋体" w:hAnsi="宋体" w:cs="微软雅黑"/>
          <w:sz w:val="24"/>
          <w:szCs w:val="24"/>
          <w:lang w:eastAsia="zh-CN"/>
        </w:rPr>
        <w:t>。</w:t>
      </w:r>
      <w:r>
        <w:rPr>
          <w:rFonts w:hint="eastAsia" w:ascii="宋体" w:hAnsi="宋体" w:eastAsia="宋体" w:cs="微软雅黑"/>
          <w:sz w:val="24"/>
          <w:szCs w:val="24"/>
        </w:rPr>
        <w:t>公司进场进行项目实施完成</w:t>
      </w:r>
      <w:r>
        <w:rPr>
          <w:rFonts w:hint="eastAsia" w:ascii="宋体" w:hAnsi="宋体" w:cs="微软雅黑"/>
          <w:sz w:val="24"/>
          <w:szCs w:val="24"/>
          <w:lang w:eastAsia="zh-CN"/>
        </w:rPr>
        <w:t>，</w:t>
      </w:r>
      <w:r>
        <w:rPr>
          <w:rFonts w:hint="eastAsia" w:ascii="宋体" w:hAnsi="宋体" w:eastAsia="宋体" w:cs="微软雅黑"/>
          <w:sz w:val="24"/>
          <w:szCs w:val="24"/>
        </w:rPr>
        <w:t>设备系统上线稳定运行3个月后，启动验收，验收合格后付合同款项的</w:t>
      </w:r>
      <w:r>
        <w:rPr>
          <w:rFonts w:hint="eastAsia" w:ascii="宋体" w:hAnsi="宋体" w:cs="微软雅黑"/>
          <w:sz w:val="24"/>
          <w:szCs w:val="24"/>
          <w:lang w:val="en-US" w:eastAsia="zh-CN"/>
        </w:rPr>
        <w:t>65</w:t>
      </w:r>
      <w:r>
        <w:rPr>
          <w:rFonts w:hint="eastAsia" w:ascii="宋体" w:hAnsi="宋体" w:eastAsia="宋体" w:cs="微软雅黑"/>
          <w:sz w:val="24"/>
          <w:szCs w:val="24"/>
        </w:rPr>
        <w:t>%，自验收合格之日起，1年</w:t>
      </w:r>
      <w:r>
        <w:rPr>
          <w:rFonts w:hint="eastAsia" w:ascii="宋体" w:hAnsi="宋体" w:eastAsia="宋体" w:cs="微软雅黑"/>
          <w:sz w:val="24"/>
          <w:szCs w:val="24"/>
          <w:highlight w:val="none"/>
          <w:lang w:val="en-US" w:eastAsia="zh-CN"/>
        </w:rPr>
        <w:t>期满</w:t>
      </w:r>
      <w:r>
        <w:rPr>
          <w:rFonts w:hint="eastAsia" w:ascii="宋体" w:hAnsi="宋体" w:eastAsia="宋体" w:cs="微软雅黑"/>
          <w:sz w:val="24"/>
          <w:szCs w:val="24"/>
        </w:rPr>
        <w:t>付</w:t>
      </w:r>
      <w:r>
        <w:rPr>
          <w:rFonts w:ascii="宋体" w:hAnsi="宋体" w:eastAsia="宋体" w:cs="微软雅黑"/>
          <w:sz w:val="24"/>
          <w:szCs w:val="24"/>
        </w:rPr>
        <w:t>5</w:t>
      </w:r>
      <w:r>
        <w:rPr>
          <w:rFonts w:hint="eastAsia" w:ascii="宋体" w:hAnsi="宋体" w:eastAsia="宋体" w:cs="微软雅黑"/>
          <w:sz w:val="24"/>
          <w:szCs w:val="24"/>
        </w:rPr>
        <w:t>%。</w:t>
      </w:r>
      <w:bookmarkEnd w:id="3"/>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ource Han Sans CN">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pStyle w:val="2"/>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00000001"/>
    <w:multiLevelType w:val="multilevel"/>
    <w:tmpl w:val="0000000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kOTRmYTViODNjMDk5YmNlMTEzMmU5NTBjYjcwNDkifQ=="/>
  </w:docVars>
  <w:rsids>
    <w:rsidRoot w:val="00000000"/>
    <w:rsid w:val="03A9196A"/>
    <w:rsid w:val="3AD923F6"/>
    <w:rsid w:val="50650F36"/>
    <w:rsid w:val="6DA3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8">
    <w:name w:val="Default Paragraph Fon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kern w:val="0"/>
      <w:sz w:val="20"/>
      <w:szCs w:val="24"/>
      <w:lang w:val="zh-CN"/>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表段落1"/>
    <w:basedOn w:val="1"/>
    <w:qFormat/>
    <w:uiPriority w:val="34"/>
    <w:pPr>
      <w:ind w:firstLine="420" w:firstLineChars="200"/>
    </w:pPr>
  </w:style>
  <w:style w:type="paragraph" w:customStyle="1" w:styleId="10">
    <w:name w:val="p15"/>
    <w:basedOn w:val="1"/>
    <w:qFormat/>
    <w:uiPriority w:val="0"/>
    <w:pPr>
      <w:widowControl/>
      <w:ind w:firstLine="420"/>
    </w:pPr>
    <w:rPr>
      <w:kern w:val="0"/>
      <w:szCs w:val="21"/>
    </w:rPr>
  </w:style>
  <w:style w:type="character" w:customStyle="1" w:styleId="11">
    <w:name w:val="页眉 字符"/>
    <w:basedOn w:val="8"/>
    <w:link w:val="5"/>
    <w:qFormat/>
    <w:uiPriority w:val="0"/>
    <w:rPr>
      <w:rFonts w:ascii="Calibri" w:hAnsi="Calibri" w:eastAsia="宋体" w:cs="宋体"/>
      <w:kern w:val="2"/>
      <w:sz w:val="18"/>
      <w:szCs w:val="18"/>
    </w:rPr>
  </w:style>
  <w:style w:type="character" w:customStyle="1" w:styleId="12">
    <w:name w:val="页脚 字符"/>
    <w:basedOn w:val="8"/>
    <w:link w:val="4"/>
    <w:qFormat/>
    <w:uiPriority w:val="0"/>
    <w:rPr>
      <w:rFonts w:ascii="Calibri" w:hAnsi="Calibri" w:eastAsia="宋体" w:cs="宋体"/>
      <w:kern w:val="2"/>
      <w:sz w:val="18"/>
      <w:szCs w:val="18"/>
    </w:rPr>
  </w:style>
  <w:style w:type="character" w:customStyle="1" w:styleId="13">
    <w:name w:val="font11"/>
    <w:basedOn w:val="8"/>
    <w:uiPriority w:val="0"/>
    <w:rPr>
      <w:rFonts w:hint="eastAsia" w:ascii="宋体" w:hAnsi="宋体" w:eastAsia="宋体" w:cs="宋体"/>
      <w:b/>
      <w:bCs/>
      <w:color w:val="000000"/>
      <w:sz w:val="20"/>
      <w:szCs w:val="20"/>
      <w:u w:val="none"/>
    </w:rPr>
  </w:style>
  <w:style w:type="character" w:customStyle="1" w:styleId="14">
    <w:name w:val="font01"/>
    <w:basedOn w:val="8"/>
    <w:uiPriority w:val="0"/>
    <w:rPr>
      <w:rFonts w:hint="eastAsia" w:ascii="宋体" w:hAnsi="宋体" w:eastAsia="宋体" w:cs="宋体"/>
      <w:color w:val="000000"/>
      <w:sz w:val="22"/>
      <w:szCs w:val="22"/>
      <w:u w:val="none"/>
    </w:rPr>
  </w:style>
  <w:style w:type="character" w:customStyle="1" w:styleId="15">
    <w:name w:val="font31"/>
    <w:basedOn w:val="8"/>
    <w:uiPriority w:val="0"/>
    <w:rPr>
      <w:rFonts w:ascii="Source Han Sans CN" w:hAnsi="Source Han Sans CN" w:eastAsia="Source Han Sans CN" w:cs="Source Han Sans CN"/>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3924</Words>
  <Characters>4331</Characters>
  <Paragraphs>187</Paragraphs>
  <TotalTime>46</TotalTime>
  <ScaleCrop>false</ScaleCrop>
  <LinksUpToDate>false</LinksUpToDate>
  <CharactersWithSpaces>4394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2023-10-29T12:52:00Z</dcterms:created>
  <dc:creator>LGYY-USER</dc:creator>
  <cp:lastModifiedBy>马俊</cp:lastModifiedBy>
  <cp:lastPrinted>2023-10-30T07:24:00Z</cp:lastPrinted>
  <dcterms:modified xsi:type="dcterms:W3CDTF">2024-03-07T02:16:26Z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EA8BB1EE20084A2B88F43B9E6434C4E3_13</vt:lpwstr>
  </property>
</Properties>
</file>