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柳州市工人医院采购第三方检测机构进行全外显子检测服务的项目需求</w:t>
      </w:r>
    </w:p>
    <w:p>
      <w:pPr>
        <w:tabs>
          <w:tab w:val="left" w:pos="7275"/>
        </w:tabs>
        <w:spacing w:line="480" w:lineRule="exact"/>
        <w:jc w:val="center"/>
        <w:rPr>
          <w:rFonts w:hint="eastAsia" w:ascii="仿宋" w:hAnsi="仿宋" w:eastAsia="仿宋" w:cs="仿宋"/>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w:t>
      </w:r>
      <w:r>
        <w:rPr>
          <w:rFonts w:hint="eastAsia" w:ascii="仿宋" w:hAnsi="仿宋" w:eastAsia="仿宋" w:cs="仿宋"/>
          <w:b/>
          <w:bCs/>
          <w:sz w:val="24"/>
          <w:szCs w:val="24"/>
        </w:rPr>
        <w:t>项目</w:t>
      </w:r>
      <w:r>
        <w:rPr>
          <w:rFonts w:hint="eastAsia" w:ascii="仿宋" w:hAnsi="仿宋" w:eastAsia="仿宋" w:cs="仿宋"/>
          <w:b/>
          <w:bCs/>
          <w:sz w:val="24"/>
          <w:szCs w:val="24"/>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柳州市工人医院采购第三方检测机构进行全外显子检测服务的项目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lang w:eastAsia="zh-CN"/>
        </w:rPr>
        <w:t>、投标人</w:t>
      </w:r>
      <w:r>
        <w:rPr>
          <w:rFonts w:hint="eastAsia" w:ascii="仿宋" w:hAnsi="仿宋" w:eastAsia="仿宋" w:cs="仿宋"/>
          <w:b/>
          <w:bCs/>
          <w:sz w:val="24"/>
          <w:szCs w:val="24"/>
          <w:lang w:val="en-US" w:eastAsia="zh-CN"/>
        </w:rPr>
        <w:t>/供应商资格条件</w:t>
      </w:r>
    </w:p>
    <w:p>
      <w:pPr>
        <w:pStyle w:val="9"/>
        <w:numPr>
          <w:ilvl w:val="0"/>
          <w:numId w:val="1"/>
        </w:numPr>
        <w:spacing w:line="360" w:lineRule="auto"/>
        <w:ind w:left="0" w:leftChars="0"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投标人需为国内注册（指按国家有关规定要求注册的）生产或经营本次招标服务、具备法人资格的服务商，具有有效的医疗机构执业许可证</w:t>
      </w:r>
    </w:p>
    <w:p>
      <w:pPr>
        <w:pStyle w:val="9"/>
        <w:numPr>
          <w:ilvl w:val="0"/>
          <w:numId w:val="1"/>
        </w:numPr>
        <w:spacing w:line="360" w:lineRule="auto"/>
        <w:ind w:left="0" w:leftChars="0"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投标人通过了PCR实验室的验收；需提供相关证明文件；</w:t>
      </w:r>
    </w:p>
    <w:p>
      <w:pPr>
        <w:pStyle w:val="9"/>
        <w:numPr>
          <w:ilvl w:val="0"/>
          <w:numId w:val="1"/>
        </w:numPr>
        <w:spacing w:line="360" w:lineRule="auto"/>
        <w:ind w:left="0" w:leftChars="0"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投标人三年内在经营活动中没有重大违法记录和不良信用记录。</w:t>
      </w:r>
    </w:p>
    <w:p>
      <w:pPr>
        <w:pStyle w:val="9"/>
        <w:numPr>
          <w:ilvl w:val="0"/>
          <w:numId w:val="1"/>
        </w:numPr>
        <w:spacing w:line="360" w:lineRule="auto"/>
        <w:ind w:left="0" w:leftChars="0"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投标人有效的“营业执照”副本复印件。</w:t>
      </w:r>
      <w:r>
        <w:rPr>
          <w:rFonts w:hint="eastAsia" w:ascii="仿宋" w:hAnsi="仿宋" w:eastAsia="仿宋" w:cs="仿宋"/>
          <w:kern w:val="0"/>
          <w:sz w:val="24"/>
          <w:szCs w:val="24"/>
          <w:lang w:val="en-US" w:eastAsia="zh-CN"/>
        </w:rPr>
        <w:tab/>
      </w:r>
    </w:p>
    <w:p>
      <w:pPr>
        <w:pStyle w:val="9"/>
        <w:numPr>
          <w:ilvl w:val="0"/>
          <w:numId w:val="1"/>
        </w:numPr>
        <w:spacing w:line="360" w:lineRule="auto"/>
        <w:ind w:left="0" w:leftChars="0"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投标人有效的“税务登记证”副本复印件。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三、项目概况</w:t>
      </w:r>
    </w:p>
    <w:p>
      <w:pPr>
        <w:pStyle w:val="9"/>
        <w:spacing w:line="360" w:lineRule="auto"/>
        <w:ind w:firstLine="480" w:firstLineChars="200"/>
        <w:rPr>
          <w:rFonts w:hint="eastAsia"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目前我院尚未自行开展该项目,特申请</w:t>
      </w:r>
      <w:r>
        <w:rPr>
          <w:rFonts w:hint="eastAsia" w:ascii="仿宋" w:hAnsi="仿宋" w:eastAsia="仿宋" w:cs="仿宋"/>
          <w:kern w:val="0"/>
          <w:sz w:val="24"/>
          <w:szCs w:val="24"/>
          <w:lang w:val="en-US" w:eastAsia="zh-CN"/>
        </w:rPr>
        <w:t>采购</w:t>
      </w:r>
      <w:r>
        <w:rPr>
          <w:rFonts w:hint="default" w:ascii="仿宋" w:hAnsi="仿宋" w:eastAsia="仿宋" w:cs="仿宋"/>
          <w:kern w:val="0"/>
          <w:sz w:val="24"/>
          <w:szCs w:val="24"/>
          <w:lang w:val="en-US" w:eastAsia="zh-CN"/>
        </w:rPr>
        <w:t>第三方检测机构开展全外显子检测</w:t>
      </w:r>
      <w:r>
        <w:rPr>
          <w:rFonts w:hint="eastAsia" w:ascii="仿宋" w:hAnsi="仿宋" w:eastAsia="仿宋" w:cs="仿宋"/>
          <w:kern w:val="0"/>
          <w:sz w:val="24"/>
          <w:szCs w:val="24"/>
          <w:lang w:val="en-US" w:eastAsia="zh-CN"/>
        </w:rPr>
        <w:t>服务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项目内容及报价要求</w:t>
      </w:r>
    </w:p>
    <w:tbl>
      <w:tblPr>
        <w:tblStyle w:val="7"/>
        <w:tblW w:w="10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900"/>
        <w:gridCol w:w="4017"/>
        <w:gridCol w:w="1000"/>
        <w:gridCol w:w="1083"/>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82" w:type="dxa"/>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900" w:type="dxa"/>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4017" w:type="dxa"/>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检测范围</w:t>
            </w:r>
          </w:p>
        </w:tc>
        <w:tc>
          <w:tcPr>
            <w:tcW w:w="1000" w:type="dxa"/>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1083" w:type="dxa"/>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报价</w:t>
            </w:r>
          </w:p>
        </w:tc>
        <w:tc>
          <w:tcPr>
            <w:tcW w:w="1558" w:type="dxa"/>
          </w:tcPr>
          <w:p>
            <w:pPr>
              <w:pStyle w:val="2"/>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备注（报告周期）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82" w:type="dxa"/>
          </w:tcPr>
          <w:p>
            <w:pPr>
              <w:pStyle w:val="2"/>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900" w:type="dxa"/>
          </w:tcPr>
          <w:p>
            <w:pPr>
              <w:pStyle w:val="2"/>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全外单人</w:t>
            </w:r>
          </w:p>
        </w:tc>
        <w:tc>
          <w:tcPr>
            <w:tcW w:w="4017" w:type="dxa"/>
          </w:tcPr>
          <w:p>
            <w:pPr>
              <w:pStyle w:val="2"/>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先证者全外检测+父母双方一代验证</w:t>
            </w:r>
          </w:p>
        </w:tc>
        <w:tc>
          <w:tcPr>
            <w:tcW w:w="1000" w:type="dxa"/>
          </w:tcPr>
          <w:p>
            <w:pPr>
              <w:pStyle w:val="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条</w:t>
            </w:r>
          </w:p>
        </w:tc>
        <w:tc>
          <w:tcPr>
            <w:tcW w:w="1083" w:type="dxa"/>
          </w:tcPr>
          <w:p>
            <w:pPr>
              <w:pStyle w:val="2"/>
              <w:rPr>
                <w:rFonts w:hint="eastAsia" w:ascii="仿宋" w:hAnsi="仿宋" w:eastAsia="仿宋" w:cs="仿宋"/>
                <w:b w:val="0"/>
                <w:bCs w:val="0"/>
                <w:sz w:val="24"/>
                <w:szCs w:val="24"/>
                <w:vertAlign w:val="baseline"/>
                <w:lang w:val="en-US" w:eastAsia="zh-CN"/>
              </w:rPr>
            </w:pPr>
          </w:p>
        </w:tc>
        <w:tc>
          <w:tcPr>
            <w:tcW w:w="1558" w:type="dxa"/>
          </w:tcPr>
          <w:p>
            <w:pPr>
              <w:pStyle w:val="2"/>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782" w:type="dxa"/>
          </w:tcPr>
          <w:p>
            <w:pPr>
              <w:pStyle w:val="2"/>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900" w:type="dxa"/>
          </w:tcPr>
          <w:p>
            <w:pPr>
              <w:pStyle w:val="2"/>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全外家系</w:t>
            </w:r>
          </w:p>
        </w:tc>
        <w:tc>
          <w:tcPr>
            <w:tcW w:w="4017" w:type="dxa"/>
          </w:tcPr>
          <w:p>
            <w:pPr>
              <w:pStyle w:val="2"/>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先证者+父母，共计三人全外检测+父母双方一代认证</w:t>
            </w:r>
          </w:p>
        </w:tc>
        <w:tc>
          <w:tcPr>
            <w:tcW w:w="1000" w:type="dxa"/>
          </w:tcPr>
          <w:p>
            <w:pPr>
              <w:pStyle w:val="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条</w:t>
            </w:r>
          </w:p>
        </w:tc>
        <w:tc>
          <w:tcPr>
            <w:tcW w:w="1083" w:type="dxa"/>
          </w:tcPr>
          <w:p>
            <w:pPr>
              <w:pStyle w:val="2"/>
              <w:rPr>
                <w:rFonts w:hint="eastAsia" w:ascii="仿宋" w:hAnsi="仿宋" w:eastAsia="仿宋" w:cs="仿宋"/>
                <w:b w:val="0"/>
                <w:bCs w:val="0"/>
                <w:sz w:val="24"/>
                <w:szCs w:val="24"/>
                <w:vertAlign w:val="baseline"/>
                <w:lang w:val="en-US" w:eastAsia="zh-CN"/>
              </w:rPr>
            </w:pPr>
          </w:p>
        </w:tc>
        <w:tc>
          <w:tcPr>
            <w:tcW w:w="1558" w:type="dxa"/>
          </w:tcPr>
          <w:p>
            <w:pPr>
              <w:pStyle w:val="2"/>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782" w:type="dxa"/>
          </w:tcPr>
          <w:p>
            <w:pPr>
              <w:pStyle w:val="2"/>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900" w:type="dxa"/>
          </w:tcPr>
          <w:p>
            <w:pPr>
              <w:pStyle w:val="2"/>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全外PLUS（全外+先证者CNV）</w:t>
            </w:r>
          </w:p>
        </w:tc>
        <w:tc>
          <w:tcPr>
            <w:tcW w:w="4017" w:type="dxa"/>
          </w:tcPr>
          <w:p>
            <w:pPr>
              <w:pStyle w:val="2"/>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（先证者全外+CNV检测）+父母双方一代验证</w:t>
            </w:r>
          </w:p>
        </w:tc>
        <w:tc>
          <w:tcPr>
            <w:tcW w:w="1000" w:type="dxa"/>
          </w:tcPr>
          <w:p>
            <w:pPr>
              <w:pStyle w:val="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条</w:t>
            </w:r>
          </w:p>
        </w:tc>
        <w:tc>
          <w:tcPr>
            <w:tcW w:w="1083" w:type="dxa"/>
          </w:tcPr>
          <w:p>
            <w:pPr>
              <w:pStyle w:val="2"/>
              <w:rPr>
                <w:rFonts w:hint="eastAsia" w:ascii="仿宋" w:hAnsi="仿宋" w:eastAsia="仿宋" w:cs="仿宋"/>
                <w:b w:val="0"/>
                <w:bCs w:val="0"/>
                <w:sz w:val="24"/>
                <w:szCs w:val="24"/>
                <w:vertAlign w:val="baseline"/>
                <w:lang w:val="en-US" w:eastAsia="zh-CN"/>
              </w:rPr>
            </w:pPr>
          </w:p>
        </w:tc>
        <w:tc>
          <w:tcPr>
            <w:tcW w:w="1558" w:type="dxa"/>
          </w:tcPr>
          <w:p>
            <w:pPr>
              <w:pStyle w:val="2"/>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782" w:type="dxa"/>
          </w:tcPr>
          <w:p>
            <w:pPr>
              <w:pStyle w:val="2"/>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900" w:type="dxa"/>
          </w:tcPr>
          <w:p>
            <w:pPr>
              <w:pStyle w:val="2"/>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全外家系PLUS（全外家系+先证者CNV）</w:t>
            </w:r>
          </w:p>
        </w:tc>
        <w:tc>
          <w:tcPr>
            <w:tcW w:w="4017" w:type="dxa"/>
          </w:tcPr>
          <w:p>
            <w:pPr>
              <w:pStyle w:val="2"/>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先证者+父母，共计三人全外检测+先证者CNV检测+父母双方一代验证</w:t>
            </w:r>
          </w:p>
        </w:tc>
        <w:tc>
          <w:tcPr>
            <w:tcW w:w="1000" w:type="dxa"/>
          </w:tcPr>
          <w:p>
            <w:pPr>
              <w:pStyle w:val="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条</w:t>
            </w:r>
          </w:p>
        </w:tc>
        <w:tc>
          <w:tcPr>
            <w:tcW w:w="1083" w:type="dxa"/>
          </w:tcPr>
          <w:p>
            <w:pPr>
              <w:pStyle w:val="2"/>
              <w:rPr>
                <w:rFonts w:hint="eastAsia" w:ascii="仿宋" w:hAnsi="仿宋" w:eastAsia="仿宋" w:cs="仿宋"/>
                <w:b w:val="0"/>
                <w:bCs w:val="0"/>
                <w:sz w:val="24"/>
                <w:szCs w:val="24"/>
                <w:vertAlign w:val="baseline"/>
                <w:lang w:val="en-US" w:eastAsia="zh-CN"/>
              </w:rPr>
            </w:pPr>
          </w:p>
        </w:tc>
        <w:tc>
          <w:tcPr>
            <w:tcW w:w="1558" w:type="dxa"/>
          </w:tcPr>
          <w:p>
            <w:pPr>
              <w:pStyle w:val="2"/>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782" w:type="dxa"/>
          </w:tcPr>
          <w:p>
            <w:pPr>
              <w:pStyle w:val="2"/>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1900" w:type="dxa"/>
          </w:tcPr>
          <w:p>
            <w:pPr>
              <w:pStyle w:val="2"/>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一代验证</w:t>
            </w:r>
          </w:p>
        </w:tc>
        <w:tc>
          <w:tcPr>
            <w:tcW w:w="4017" w:type="dxa"/>
          </w:tcPr>
          <w:p>
            <w:pPr>
              <w:pStyle w:val="2"/>
              <w:numPr>
                <w:ilvl w:val="0"/>
                <w:numId w:val="0"/>
              </w:numP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1.应用于产前诊断：适用于已经先证者通过全外检测出致病位点，而母亲怀孕或计划怀孕家庭</w:t>
            </w:r>
          </w:p>
          <w:p>
            <w:pPr>
              <w:pStyle w:val="2"/>
              <w:numPr>
                <w:ilvl w:val="0"/>
                <w:numId w:val="0"/>
              </w:numPr>
              <w:rPr>
                <w:rFonts w:hint="default"/>
                <w:b w:val="0"/>
                <w:bCs w:val="0"/>
                <w:lang w:val="en-US" w:eastAsia="zh-CN"/>
              </w:rPr>
            </w:pPr>
            <w:r>
              <w:rPr>
                <w:rFonts w:hint="eastAsia" w:ascii="仿宋" w:hAnsi="仿宋" w:eastAsia="仿宋" w:cs="仿宋"/>
                <w:b w:val="0"/>
                <w:bCs w:val="0"/>
                <w:sz w:val="24"/>
                <w:szCs w:val="24"/>
                <w:vertAlign w:val="baseline"/>
                <w:lang w:val="en-US" w:eastAsia="zh-CN"/>
              </w:rPr>
              <w:t>2.应用于家系成员以外的家族成员相似疾病诊断</w:t>
            </w:r>
          </w:p>
        </w:tc>
        <w:tc>
          <w:tcPr>
            <w:tcW w:w="1000" w:type="dxa"/>
          </w:tcPr>
          <w:p>
            <w:pPr>
              <w:pStyle w:val="2"/>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点位</w:t>
            </w:r>
          </w:p>
        </w:tc>
        <w:tc>
          <w:tcPr>
            <w:tcW w:w="1083" w:type="dxa"/>
          </w:tcPr>
          <w:p>
            <w:pPr>
              <w:pStyle w:val="2"/>
              <w:rPr>
                <w:rFonts w:hint="eastAsia" w:ascii="仿宋" w:hAnsi="仿宋" w:eastAsia="仿宋" w:cs="仿宋"/>
                <w:b w:val="0"/>
                <w:bCs w:val="0"/>
                <w:sz w:val="24"/>
                <w:szCs w:val="24"/>
                <w:vertAlign w:val="baseline"/>
                <w:lang w:val="en-US" w:eastAsia="zh-CN"/>
              </w:rPr>
            </w:pPr>
          </w:p>
        </w:tc>
        <w:tc>
          <w:tcPr>
            <w:tcW w:w="1558" w:type="dxa"/>
          </w:tcPr>
          <w:p>
            <w:pPr>
              <w:pStyle w:val="2"/>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7699" w:type="dxa"/>
            <w:gridSpan w:val="4"/>
          </w:tcPr>
          <w:p>
            <w:pPr>
              <w:pStyle w:val="2"/>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合计单价（元）：</w:t>
            </w:r>
          </w:p>
        </w:tc>
        <w:tc>
          <w:tcPr>
            <w:tcW w:w="1083" w:type="dxa"/>
          </w:tcPr>
          <w:p>
            <w:pPr>
              <w:pStyle w:val="2"/>
              <w:rPr>
                <w:rFonts w:hint="eastAsia" w:ascii="仿宋" w:hAnsi="仿宋" w:eastAsia="仿宋" w:cs="仿宋"/>
                <w:sz w:val="24"/>
                <w:szCs w:val="24"/>
                <w:vertAlign w:val="baseline"/>
                <w:lang w:val="en-US" w:eastAsia="zh-CN"/>
              </w:rPr>
            </w:pPr>
          </w:p>
        </w:tc>
        <w:tc>
          <w:tcPr>
            <w:tcW w:w="1558" w:type="dxa"/>
          </w:tcPr>
          <w:p>
            <w:pPr>
              <w:pStyle w:val="2"/>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0340" w:type="dxa"/>
            <w:gridSpan w:val="6"/>
          </w:tcPr>
          <w:p>
            <w:pPr>
              <w:pStyle w:val="2"/>
              <w:rPr>
                <w:rFonts w:hint="eastAsia" w:ascii="仿宋" w:hAnsi="仿宋" w:eastAsia="仿宋" w:cs="仿宋"/>
                <w:sz w:val="24"/>
                <w:szCs w:val="24"/>
                <w:vertAlign w:val="baseline"/>
                <w:lang w:val="en-US" w:eastAsia="zh-CN"/>
              </w:rPr>
            </w:pPr>
            <w:r>
              <w:rPr>
                <w:rFonts w:hint="eastAsia" w:ascii="仿宋" w:hAnsi="仿宋" w:eastAsia="仿宋" w:cs="仿宋"/>
                <w:color w:val="auto"/>
                <w:kern w:val="2"/>
                <w:sz w:val="24"/>
                <w:szCs w:val="24"/>
                <w:lang w:val="en-US" w:eastAsia="zh-CN" w:bidi="ar-SA"/>
              </w:rPr>
              <w:t>报价含人工费、材料费、运输费、管理费、保险、利润、税金等为完成本项目所需的所有</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五、技术要求</w:t>
      </w:r>
    </w:p>
    <w:p>
      <w:pPr>
        <w:keepNext/>
        <w:keepLines/>
        <w:pageBreakBefore w:val="0"/>
        <w:widowControl w:val="0"/>
        <w:kinsoku/>
        <w:wordWrap/>
        <w:overflowPunct/>
        <w:topLinePunct w:val="0"/>
        <w:autoSpaceDE/>
        <w:autoSpaceDN/>
        <w:bidi w:val="0"/>
        <w:adjustRightInd/>
        <w:snapToGrid/>
        <w:spacing w:before="120" w:after="120" w:line="240" w:lineRule="exact"/>
        <w:ind w:firstLine="482" w:firstLineChars="200"/>
        <w:jc w:val="both"/>
        <w:textAlignment w:val="auto"/>
        <w:outlineLvl w:val="2"/>
        <w:rPr>
          <w:rFonts w:hint="eastAsia" w:ascii="仿宋" w:hAnsi="仿宋" w:eastAsia="仿宋" w:cs="仿宋"/>
          <w:b/>
          <w:bCs/>
          <w:kern w:val="2"/>
          <w:sz w:val="24"/>
          <w:szCs w:val="24"/>
          <w:lang w:val="en-US" w:eastAsia="zh-CN" w:bidi="ar-SA"/>
        </w:rPr>
      </w:pPr>
      <w:bookmarkStart w:id="0" w:name="_Toc148344718"/>
      <w:r>
        <w:rPr>
          <w:rFonts w:hint="eastAsia" w:ascii="仿宋" w:hAnsi="仿宋" w:eastAsia="仿宋" w:cs="仿宋"/>
          <w:b/>
          <w:bCs/>
          <w:kern w:val="2"/>
          <w:sz w:val="24"/>
          <w:szCs w:val="24"/>
          <w:lang w:val="en-US" w:eastAsia="zh-CN" w:bidi="ar-SA"/>
        </w:rPr>
        <w:t>1、探针及捕获要求</w:t>
      </w:r>
      <w:bookmarkEnd w:id="0"/>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▲1.1 捕获建库试剂盒能够覆盖人类基因组约25000个基因，捕获区域大小≥65M，需提供产品彩页。</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 探针设计区域：OMIM具有明确分子机制的基因、ClinGen专家组评定的基因、调节元件明确致病区域、内含子明确致病区域、线粒体基因组37个基因，RefGene中RNA区域；需提供产品彩页。</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▲1.3 检测可用多种探针：投标人具有多种探针（自主研发探针、安捷伦、IDT等品牌），可供院方选择。</w:t>
      </w:r>
    </w:p>
    <w:p>
      <w:pPr>
        <w:keepNext/>
        <w:keepLines/>
        <w:pageBreakBefore w:val="0"/>
        <w:widowControl w:val="0"/>
        <w:kinsoku/>
        <w:wordWrap/>
        <w:overflowPunct/>
        <w:topLinePunct w:val="0"/>
        <w:autoSpaceDE/>
        <w:autoSpaceDN/>
        <w:bidi w:val="0"/>
        <w:adjustRightInd/>
        <w:snapToGrid/>
        <w:spacing w:before="120" w:after="120" w:line="240" w:lineRule="exact"/>
        <w:ind w:firstLine="482" w:firstLineChars="200"/>
        <w:jc w:val="both"/>
        <w:textAlignment w:val="auto"/>
        <w:outlineLvl w:val="2"/>
        <w:rPr>
          <w:rFonts w:hint="eastAsia" w:ascii="仿宋" w:hAnsi="仿宋" w:eastAsia="仿宋" w:cs="仿宋"/>
          <w:b/>
          <w:bCs/>
          <w:kern w:val="2"/>
          <w:sz w:val="24"/>
          <w:szCs w:val="24"/>
          <w:lang w:val="en-US" w:eastAsia="zh-CN" w:bidi="ar-SA"/>
        </w:rPr>
      </w:pPr>
      <w:bookmarkStart w:id="1" w:name="_Toc97128955"/>
      <w:bookmarkStart w:id="2" w:name="_Toc148344719"/>
      <w:r>
        <w:rPr>
          <w:rFonts w:hint="eastAsia" w:ascii="仿宋" w:hAnsi="仿宋" w:eastAsia="仿宋" w:cs="仿宋"/>
          <w:b/>
          <w:bCs/>
          <w:kern w:val="2"/>
          <w:sz w:val="24"/>
          <w:szCs w:val="24"/>
          <w:lang w:val="en-US" w:eastAsia="zh-CN" w:bidi="ar-SA"/>
        </w:rPr>
        <w:t>2、 样本及建库需求</w:t>
      </w:r>
      <w:bookmarkEnd w:id="1"/>
      <w:bookmarkEnd w:id="2"/>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★2.1样本量：全外显子组检测可对低至50ngDNA的样本进行建库及测序（需提供产品彩页和文献）。</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2.2样本类型：</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①投标人具备处理外周血、口腔拭子、组织、微量新生儿干血片、羊水、脐带血样本等特殊样本的实验能力；</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★②新生儿干血片样本要求总量≤3个干血点，并具备直接进行外显子组检测的能力，需要提供公开发表的文献，并在文献上标注出投标人公司名称；</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▲③对其它样品如足跟血、口腔拭子等均可提取建库，并可进行WES-CNV检测，且WES-CNV和CNVseq一致性超过90%，需提供报告模板和对比数据。</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▲2.3建库方法：全外显子基因检测实验中操作步骤简单，预文库采用PCR-free方法建库，减少实验步骤及人为错误可能，保证数据均一性。需提供专利证明。</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2.4 捕获环节：实验室捕获环节采用1捕1的杂交体系，保证数据质量。</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2.5探针捕获效率：≥60%。</w:t>
      </w:r>
    </w:p>
    <w:p>
      <w:pPr>
        <w:keepNext/>
        <w:keepLines/>
        <w:pageBreakBefore w:val="0"/>
        <w:widowControl w:val="0"/>
        <w:kinsoku/>
        <w:wordWrap/>
        <w:overflowPunct/>
        <w:topLinePunct w:val="0"/>
        <w:autoSpaceDE/>
        <w:autoSpaceDN/>
        <w:bidi w:val="0"/>
        <w:adjustRightInd/>
        <w:snapToGrid/>
        <w:spacing w:before="120" w:after="120" w:line="240" w:lineRule="exact"/>
        <w:ind w:firstLine="482" w:firstLineChars="200"/>
        <w:jc w:val="both"/>
        <w:textAlignment w:val="auto"/>
        <w:outlineLvl w:val="2"/>
        <w:rPr>
          <w:rFonts w:hint="eastAsia" w:ascii="仿宋" w:hAnsi="仿宋" w:eastAsia="仿宋" w:cs="仿宋"/>
          <w:b/>
          <w:bCs/>
          <w:kern w:val="2"/>
          <w:sz w:val="24"/>
          <w:szCs w:val="24"/>
          <w:lang w:val="en-US" w:eastAsia="zh-CN" w:bidi="ar-SA"/>
        </w:rPr>
      </w:pPr>
      <w:bookmarkStart w:id="3" w:name="_Toc148344720"/>
      <w:bookmarkStart w:id="4" w:name="_Toc97128956"/>
      <w:r>
        <w:rPr>
          <w:rFonts w:hint="eastAsia" w:ascii="仿宋" w:hAnsi="仿宋" w:eastAsia="仿宋" w:cs="仿宋"/>
          <w:b/>
          <w:bCs/>
          <w:kern w:val="2"/>
          <w:sz w:val="24"/>
          <w:szCs w:val="24"/>
          <w:lang w:val="en-US" w:eastAsia="zh-CN" w:bidi="ar-SA"/>
        </w:rPr>
        <w:t>3、测序平台需求</w:t>
      </w:r>
      <w:bookmarkEnd w:id="3"/>
      <w:bookmarkEnd w:id="4"/>
    </w:p>
    <w:p>
      <w:pPr>
        <w:pStyle w:val="9"/>
        <w:spacing w:line="360" w:lineRule="auto"/>
        <w:ind w:firstLine="480" w:firstLineChars="200"/>
        <w:rPr>
          <w:rFonts w:hint="eastAsia" w:ascii="仿宋" w:hAnsi="仿宋" w:eastAsia="仿宋" w:cs="仿宋"/>
          <w:kern w:val="0"/>
          <w:sz w:val="24"/>
          <w:szCs w:val="24"/>
          <w:lang w:val="en-US" w:eastAsia="zh-CN"/>
        </w:rPr>
      </w:pPr>
      <w:bookmarkStart w:id="5" w:name="_Hlk134543826"/>
      <w:bookmarkStart w:id="6" w:name="_Hlk134545664"/>
      <w:r>
        <w:rPr>
          <w:rFonts w:hint="eastAsia" w:ascii="仿宋" w:hAnsi="仿宋" w:eastAsia="仿宋" w:cs="仿宋"/>
          <w:kern w:val="0"/>
          <w:sz w:val="24"/>
          <w:szCs w:val="24"/>
          <w:lang w:val="en-US" w:eastAsia="zh-CN"/>
        </w:rPr>
        <w:t>▲3.1 测序平台：投标人要求配备有国际主流的NovaSeq 平台或相同级别的其他测序平台，要求采用边合成边测序原理（SBS），具备支持单端和双端测序，已到位可运行的平台数量≥12台，需提供测序仪平台介绍及采购合同，不允许联合该供应商外的任何机构提供投标所需硬件设备及资质</w:t>
      </w:r>
      <w:bookmarkEnd w:id="5"/>
      <w:r>
        <w:rPr>
          <w:rFonts w:hint="eastAsia" w:ascii="仿宋" w:hAnsi="仿宋" w:eastAsia="仿宋" w:cs="仿宋"/>
          <w:kern w:val="0"/>
          <w:sz w:val="24"/>
          <w:szCs w:val="24"/>
          <w:lang w:val="en-US" w:eastAsia="zh-CN"/>
        </w:rPr>
        <w:t>。</w:t>
      </w:r>
      <w:bookmarkStart w:id="7" w:name="_Hlk134543844"/>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▲3.2测序平台要求一次性产出最大数据量能达到6T，时间不超过48小时，PE150和PE100都可进行。</w:t>
      </w:r>
    </w:p>
    <w:bookmarkEnd w:id="6"/>
    <w:bookmarkEnd w:id="7"/>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▲3.3投标人或其集团具备自主研发测序平台得能力，通用型平台具备国家药品监督管理局（NMPA）得中华人民共和国医疗器械注册证。</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3.4投标人可提供NGS分析后多种变异类型的验证如一代验证（Sanger测序）、MLPA、Q-PCR服务等，需提供证明材料。</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▲3.5投标人或其集团公司具备三代测序平台，可为医院提供三代测序服务；需提供三代测序平台的医疗器械注册检验报告（医疗器械质量监督检验中心下发）。</w:t>
      </w:r>
    </w:p>
    <w:p>
      <w:pPr>
        <w:pStyle w:val="9"/>
        <w:spacing w:line="360" w:lineRule="auto"/>
        <w:ind w:firstLine="480" w:firstLineChars="200"/>
        <w:rPr>
          <w:rFonts w:hint="eastAsia" w:ascii="仿宋" w:hAnsi="仿宋" w:eastAsia="仿宋" w:cs="仿宋"/>
          <w:kern w:val="0"/>
          <w:sz w:val="24"/>
          <w:szCs w:val="24"/>
          <w:lang w:val="en-US" w:eastAsia="zh-CN"/>
        </w:rPr>
      </w:pPr>
      <w:bookmarkStart w:id="8" w:name="_Toc97128957"/>
      <w:bookmarkStart w:id="9" w:name="_Toc148344721"/>
      <w:r>
        <w:rPr>
          <w:rFonts w:hint="eastAsia" w:ascii="仿宋" w:hAnsi="仿宋" w:eastAsia="仿宋" w:cs="仿宋"/>
          <w:kern w:val="0"/>
          <w:sz w:val="24"/>
          <w:szCs w:val="24"/>
          <w:lang w:val="en-US" w:eastAsia="zh-CN"/>
        </w:rPr>
        <w:t xml:space="preserve">4、 </w:t>
      </w:r>
      <w:bookmarkEnd w:id="8"/>
      <w:r>
        <w:rPr>
          <w:rFonts w:hint="eastAsia" w:ascii="仿宋" w:hAnsi="仿宋" w:eastAsia="仿宋" w:cs="仿宋"/>
          <w:kern w:val="0"/>
          <w:sz w:val="24"/>
          <w:szCs w:val="24"/>
          <w:lang w:val="en-US" w:eastAsia="zh-CN"/>
        </w:rPr>
        <w:t>质控要求</w:t>
      </w:r>
      <w:bookmarkEnd w:id="9"/>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4.1要求测序质控需满足人全外显子测序临床项目开展相关要求，测序数据量每个样本至少10G，平均测序深度不低于80X。</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4.2全外显子组测序数据质量Q20&gt;90%，Q30&gt;85%；碱基类型分布均匀，无GC分离。</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4.3平均覆盖度99.5%以上，4×覆盖度≥98.5%，20X覆盖度＞97.5%。</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4.4全外捕获探针需要同时覆盖线粒体全长基因组，平均测序深度5000x，质控2000X，最低检出AF可达到1%，需提供证明材料。</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4.5有效数据需覆盖CDS区以及临床参考数据库中有明确致病性的非编码区（内含子及UTR等区域）变异位点，分析变异类型包括SNV、Indel（50bp）、外显子级别CNV、&gt;100kb 大片段CNV、LOH（家系UPD）。</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4.6公司已完成20万例以上该项目的临床检测及数据分析，并提供书面证明；</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4.7投标人在家系分析过程中可进行亲缘关系分析、性别质控。</w:t>
      </w:r>
    </w:p>
    <w:p>
      <w:pPr>
        <w:keepNext/>
        <w:keepLines/>
        <w:pageBreakBefore w:val="0"/>
        <w:widowControl w:val="0"/>
        <w:kinsoku/>
        <w:wordWrap/>
        <w:overflowPunct/>
        <w:topLinePunct w:val="0"/>
        <w:autoSpaceDE/>
        <w:autoSpaceDN/>
        <w:bidi w:val="0"/>
        <w:adjustRightInd/>
        <w:snapToGrid/>
        <w:spacing w:before="120" w:after="120" w:line="240" w:lineRule="exact"/>
        <w:ind w:firstLine="482" w:firstLineChars="200"/>
        <w:jc w:val="both"/>
        <w:textAlignment w:val="auto"/>
        <w:outlineLvl w:val="2"/>
        <w:rPr>
          <w:rFonts w:hint="eastAsia" w:ascii="仿宋" w:hAnsi="仿宋" w:eastAsia="仿宋" w:cs="仿宋"/>
          <w:b/>
          <w:bCs/>
          <w:kern w:val="2"/>
          <w:sz w:val="24"/>
          <w:szCs w:val="24"/>
          <w:lang w:val="en-US" w:eastAsia="zh-CN" w:bidi="ar-SA"/>
        </w:rPr>
      </w:pPr>
      <w:bookmarkStart w:id="10" w:name="_Toc97128959"/>
      <w:bookmarkStart w:id="11" w:name="_Toc148344722"/>
      <w:r>
        <w:rPr>
          <w:rFonts w:hint="eastAsia" w:ascii="仿宋" w:hAnsi="仿宋" w:eastAsia="仿宋" w:cs="仿宋"/>
          <w:b/>
          <w:bCs/>
          <w:kern w:val="2"/>
          <w:sz w:val="24"/>
          <w:szCs w:val="24"/>
          <w:lang w:val="en-US" w:eastAsia="zh-CN" w:bidi="ar-SA"/>
        </w:rPr>
        <w:t>5、数据分析需求</w:t>
      </w:r>
      <w:bookmarkEnd w:id="10"/>
      <w:bookmarkEnd w:id="11"/>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5.1参考基因组版本：具备Hg19和Hg38两个参考基因组版本生信分析流程，需提供不同版本的检测报告。</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▲5.2投标人使用生信分析流程类似或优于GATK best practice，自有分析系统已取得国家资质审核优先采纳。</w:t>
      </w:r>
      <w:bookmarkStart w:id="12" w:name="_Hlk134610545"/>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5.3分析系统可对有脊髓小脑共济失调等相关基因进行动态突变分析，检出后可进行RP-PCR验证。</w:t>
      </w:r>
      <w:bookmarkEnd w:id="12"/>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5.4使用的分析数据库是权威开源的数据库，包括人群数据库1000genomes、ESP6500、ExAC、gnomAD等；疾病数据库：OMIM、ClinVar、HGMD（专业版）等；使用多种剪切预测软件，其中必须包括SpliceAI、dbscSNV、MaxEntScan等；错义突变危害预测软件：CADD、dann、SIFT、Polyphen2、MetaSVM、MetaLR、M-CAP、REVEL等，需提供分析解读文件等证明材料。</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▲5.5</w:t>
      </w:r>
      <w:bookmarkStart w:id="13" w:name="_Hlk134613238"/>
      <w:r>
        <w:rPr>
          <w:rFonts w:hint="eastAsia" w:ascii="仿宋" w:hAnsi="仿宋" w:eastAsia="仿宋" w:cs="仿宋"/>
          <w:kern w:val="0"/>
          <w:sz w:val="24"/>
          <w:szCs w:val="24"/>
          <w:lang w:val="en-US" w:eastAsia="zh-CN"/>
        </w:rPr>
        <w:t>投标人具备百万中国人群基因组大数据库（收录正常人&gt;90万，患者&gt;4万）作为注释解读的支撑，需提供证明材料</w:t>
      </w:r>
      <w:bookmarkEnd w:id="13"/>
      <w:r>
        <w:rPr>
          <w:rFonts w:hint="eastAsia" w:ascii="仿宋" w:hAnsi="仿宋" w:eastAsia="仿宋" w:cs="仿宋"/>
          <w:kern w:val="0"/>
          <w:sz w:val="24"/>
          <w:szCs w:val="24"/>
          <w:lang w:val="en-US" w:eastAsia="zh-CN"/>
        </w:rPr>
        <w:t>。</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5.6投标人具备生物信息分析及及PB级数据储存平台建设能力，可满足医院不同层级得需求，可提供平台建设一体化方案，需提供产品彩页。</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5.7投标人的数据分析软件具有软件著作及商标等知识产权证明（需提供相关证书复印件），平台技术人员具备PMP项目管理专业资质认证（需提供PMP证书）。</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▲5.8投标人数据分析云平台系统需包含湿实验系统管理和干实验系统管理及数据分析，数据分析软件具有SCI文献支持，需提供完整文献。</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5.9数据分析云平台：投标单位具备生物信息分析及数据存储平台建设能力，可提供数据分析云平台给采购方，包括变异位点检测系统和变异位点注释系统的生物分析平台，允许其对检测数据进行数据库比对注释分析、报告模版自定义等功能；需提供相应系统的截图和产权证明文件。</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5.10分析要求：采用表型驱动及基因型驱动两种模式同时进行。</w:t>
      </w:r>
    </w:p>
    <w:p>
      <w:pPr>
        <w:keepNext/>
        <w:keepLines/>
        <w:pageBreakBefore w:val="0"/>
        <w:widowControl w:val="0"/>
        <w:kinsoku/>
        <w:wordWrap/>
        <w:overflowPunct/>
        <w:topLinePunct w:val="0"/>
        <w:autoSpaceDE/>
        <w:autoSpaceDN/>
        <w:bidi w:val="0"/>
        <w:adjustRightInd/>
        <w:snapToGrid/>
        <w:spacing w:before="120" w:after="120" w:line="240" w:lineRule="exact"/>
        <w:ind w:firstLine="482" w:firstLineChars="200"/>
        <w:jc w:val="both"/>
        <w:textAlignment w:val="auto"/>
        <w:outlineLvl w:val="2"/>
        <w:rPr>
          <w:rFonts w:hint="eastAsia" w:ascii="仿宋" w:hAnsi="仿宋" w:eastAsia="仿宋" w:cs="仿宋"/>
          <w:b/>
          <w:bCs/>
          <w:kern w:val="2"/>
          <w:sz w:val="24"/>
          <w:szCs w:val="24"/>
          <w:lang w:val="en-US" w:eastAsia="zh-CN" w:bidi="ar-SA"/>
        </w:rPr>
      </w:pPr>
      <w:bookmarkStart w:id="14" w:name="_Toc97128960"/>
      <w:bookmarkStart w:id="15" w:name="_Toc148344723"/>
      <w:r>
        <w:rPr>
          <w:rFonts w:hint="eastAsia" w:ascii="仿宋" w:hAnsi="仿宋" w:eastAsia="仿宋" w:cs="仿宋"/>
          <w:b/>
          <w:bCs/>
          <w:kern w:val="2"/>
          <w:sz w:val="24"/>
          <w:szCs w:val="24"/>
          <w:lang w:val="en-US" w:eastAsia="zh-CN" w:bidi="ar-SA"/>
        </w:rPr>
        <w:t>6、售后服务需求</w:t>
      </w:r>
      <w:bookmarkEnd w:id="14"/>
      <w:bookmarkEnd w:id="15"/>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6.1、投标人能及时响应招标方技术需求，确保2小时内到达现场，能委派专业技术人员（具备丰富的全外显子测序实验操作及数据分析能力）专职提供技术服务；</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★6.2、投标人可针对全外实现常规20个工作日，具备实现加急12个工作日以及88小时检测周期的能力，需提供报告模板；</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6.3、一代验证：对于检测阳性的结果提供先证者、父、母及必要亲属的免费一代验证；</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6.4、投标人可在样本送检后12个工作日内返回所要求的原始数据文件，返回数据文件类型包括：fastQ、bam、vcf、level文件，所有数据应保留至少2年；</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6.5、原始数据传输需安全合理，可通过硬盘（投标方提供）或者云端线上传输等。投标人驻医院人员负责与招标方人员定期交接硬盘，招标方备份数据后退回硬盘。（硬盘交接、归还时需双方签字确认，并记录，同时投标方负责硬盘交接过程中的安全及数据保密），投标方需提供物流公司合作文件，以及硬盘邮寄物流方便追踪（若有硬盘未能按时送达、不慎遗失等特殊情况，需提出具体解决方案）；</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6.6、配合医院进行后期样本回溯，样本存储周期为半年，每半年返回样本一次。如招标方实验室存在场地限制，投标方实验室平台应为招标方实验室免费提供长期储存样本服务。</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6.7、具备遗传咨询服务：遗传咨询团队人员中有美国遗传咨询协会会员，并具有专业得遗传咨询证书，需提供证书复印件及会员截图证明；并且可为院方培养遗传咨询人才，定期根据需求看展讨论会，进行线下分析；</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6.8科研支持：具有科研课题辅助申请、定期样本结果汇总、案例及数据挖掘、文章发表等其他科研服务能力，参与过医学相关研究并署名发表文献（IF≥10），具备相关数据分析经验，需提供证明材料。</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▲6.9针对独立功能验证实力，具有看展功能验证合作的单位，需提供相关合同或合作论文。</w:t>
      </w:r>
    </w:p>
    <w:p>
      <w:pPr>
        <w:pStyle w:val="9"/>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6.10具有开展全外显子相关科研项目合作的单位，需提供相关合同或合作证明。</w:t>
      </w:r>
    </w:p>
    <w:p>
      <w:pPr>
        <w:pStyle w:val="9"/>
        <w:spacing w:line="360" w:lineRule="auto"/>
        <w:ind w:firstLine="480" w:firstLineChars="200"/>
        <w:rPr>
          <w:rFonts w:hint="default"/>
          <w:lang w:val="en-US" w:eastAsia="zh-CN"/>
        </w:rPr>
      </w:pPr>
      <w:r>
        <w:rPr>
          <w:rFonts w:hint="eastAsia" w:ascii="仿宋" w:hAnsi="仿宋" w:eastAsia="仿宋" w:cs="仿宋"/>
          <w:kern w:val="0"/>
          <w:sz w:val="24"/>
          <w:szCs w:val="24"/>
          <w:lang w:val="en-US" w:eastAsia="zh-CN"/>
        </w:rPr>
        <w:t>6.11具有完备的技术人员数量和技术能力可以用来对接全国范围内、所有售前、售中和售后的服务及技术对接。</w:t>
      </w:r>
    </w:p>
    <w:p>
      <w:pPr>
        <w:pStyle w:val="9"/>
        <w:numPr>
          <w:ilvl w:val="0"/>
          <w:numId w:val="0"/>
        </w:numPr>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color w:val="auto"/>
          <w:kern w:val="2"/>
          <w:sz w:val="24"/>
          <w:szCs w:val="24"/>
          <w:lang w:val="en-US" w:eastAsia="zh-CN" w:bidi="ar-SA"/>
        </w:rPr>
        <w:t>费用，在实施期间不因市场因素而变动。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六、合同期限和结算方式</w:t>
      </w:r>
    </w:p>
    <w:p>
      <w:pPr>
        <w:pStyle w:val="9"/>
        <w:numPr>
          <w:ilvl w:val="0"/>
          <w:numId w:val="0"/>
        </w:numPr>
        <w:spacing w:line="360" w:lineRule="auto"/>
        <w:ind w:left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本项目服务期为3年；</w:t>
      </w:r>
    </w:p>
    <w:p>
      <w:pPr>
        <w:pStyle w:val="9"/>
        <w:numPr>
          <w:ilvl w:val="0"/>
          <w:numId w:val="0"/>
        </w:numPr>
        <w:spacing w:line="360" w:lineRule="auto"/>
        <w:ind w:leftChars="20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结算方式：按实际量，每季度结算一次；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七.服务商遴选方式</w:t>
      </w:r>
    </w:p>
    <w:p>
      <w:pPr>
        <w:pStyle w:val="9"/>
        <w:numPr>
          <w:ilvl w:val="0"/>
          <w:numId w:val="0"/>
        </w:numPr>
        <w:spacing w:line="360" w:lineRule="auto"/>
        <w:ind w:leftChars="200"/>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对供应商的服务质量、及时性及价格进行综合评价，遴选1</w:t>
      </w:r>
      <w:r>
        <w:rPr>
          <w:rFonts w:hint="default" w:ascii="仿宋" w:hAnsi="仿宋" w:eastAsia="仿宋" w:cs="仿宋"/>
          <w:kern w:val="0"/>
          <w:sz w:val="24"/>
          <w:szCs w:val="24"/>
          <w:lang w:val="en-US" w:eastAsia="zh-CN"/>
        </w:rPr>
        <w:t>家</w:t>
      </w:r>
      <w:r>
        <w:rPr>
          <w:rFonts w:hint="eastAsia" w:ascii="仿宋" w:hAnsi="仿宋" w:eastAsia="仿宋" w:cs="仿宋"/>
          <w:kern w:val="0"/>
          <w:sz w:val="24"/>
          <w:szCs w:val="24"/>
          <w:lang w:val="en-US" w:eastAsia="zh-CN"/>
        </w:rPr>
        <w:t>服务商。</w:t>
      </w:r>
    </w:p>
    <w:p>
      <w:pPr>
        <w:pStyle w:val="5"/>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承办科室 ：                             使用科室：</w:t>
      </w:r>
    </w:p>
    <w:p>
      <w:pPr>
        <w:pStyle w:val="5"/>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经办人：                                经办人：</w:t>
      </w:r>
    </w:p>
    <w:p>
      <w:pPr>
        <w:pStyle w:val="5"/>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科主任：                                科主任：</w:t>
      </w:r>
    </w:p>
    <w:p>
      <w:pPr>
        <w:pStyle w:val="5"/>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日期：2024年03月   日                 日期： 2024年03月   日</w:t>
      </w:r>
    </w:p>
    <w:p>
      <w:pPr>
        <w:pStyle w:val="9"/>
        <w:numPr>
          <w:ilvl w:val="0"/>
          <w:numId w:val="0"/>
        </w:numPr>
        <w:spacing w:line="360" w:lineRule="auto"/>
        <w:ind w:leftChars="200"/>
        <w:rPr>
          <w:rFonts w:hint="eastAsia" w:ascii="仿宋" w:hAnsi="仿宋" w:eastAsia="仿宋" w:cs="仿宋"/>
          <w:kern w:val="0"/>
          <w:sz w:val="24"/>
          <w:szCs w:val="24"/>
          <w:lang w:val="en-US" w:eastAsia="zh-CN"/>
        </w:rPr>
      </w:pPr>
    </w:p>
    <w:sectPr>
      <w:pgSz w:w="11906" w:h="16838"/>
      <w:pgMar w:top="1020" w:right="1020" w:bottom="102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7DD16E"/>
    <w:multiLevelType w:val="singleLevel"/>
    <w:tmpl w:val="D57DD16E"/>
    <w:lvl w:ilvl="0" w:tentative="0">
      <w:start w:val="1"/>
      <w:numFmt w:val="decimal"/>
      <w:suff w:val="nothing"/>
      <w:lvlText w:val="%1．"/>
      <w:lvlJc w:val="left"/>
      <w:pPr>
        <w:ind w:left="0" w:firstLine="400"/>
      </w:pPr>
      <w:rPr>
        <w:rFonts w:hint="default"/>
      </w:rPr>
    </w:lvl>
  </w:abstractNum>
  <w:abstractNum w:abstractNumId="1">
    <w:nsid w:val="E75ED923"/>
    <w:multiLevelType w:val="singleLevel"/>
    <w:tmpl w:val="E75ED92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64ABC"/>
    <w:rsid w:val="258B0D6C"/>
    <w:rsid w:val="28AB6687"/>
    <w:rsid w:val="3D903E1C"/>
    <w:rsid w:val="46315ECC"/>
    <w:rsid w:val="711D00AA"/>
    <w:rsid w:val="715C50E1"/>
    <w:rsid w:val="7BC91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next w:val="1"/>
    <w:unhideWhenUsed/>
    <w:qFormat/>
    <w:uiPriority w:val="0"/>
    <w:pPr>
      <w:keepNext/>
      <w:keepLines/>
      <w:widowControl w:val="0"/>
      <w:spacing w:before="260" w:after="260" w:line="413" w:lineRule="auto"/>
      <w:jc w:val="left"/>
      <w:outlineLvl w:val="2"/>
    </w:pPr>
    <w:rPr>
      <w:rFonts w:ascii="等线" w:hAnsi="等线" w:eastAsia="宋体" w:cs="Times New Roman"/>
      <w:b/>
      <w:kern w:val="2"/>
      <w:sz w:val="24"/>
      <w:szCs w:val="21"/>
      <w:lang w:val="en-US" w:eastAsia="zh-CN" w:bidi="ar-SA"/>
    </w:rPr>
  </w:style>
  <w:style w:type="paragraph" w:styleId="2">
    <w:name w:val="heading 4"/>
    <w:next w:val="1"/>
    <w:qFormat/>
    <w:uiPriority w:val="99"/>
    <w:pPr>
      <w:keepNext/>
      <w:keepLines/>
      <w:widowControl w:val="0"/>
      <w:spacing w:before="120" w:after="120"/>
      <w:jc w:val="both"/>
      <w:outlineLvl w:val="3"/>
    </w:pPr>
    <w:rPr>
      <w:rFonts w:ascii="Cambria" w:hAnsi="Cambria" w:eastAsia="宋体" w:cs="宋体"/>
      <w:b/>
      <w:bCs/>
      <w:kern w:val="0"/>
      <w:sz w:val="28"/>
      <w:szCs w:val="28"/>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next w:val="1"/>
    <w:qFormat/>
    <w:uiPriority w:val="0"/>
    <w:pPr>
      <w:widowControl w:val="0"/>
      <w:spacing w:line="380" w:lineRule="exact"/>
      <w:jc w:val="both"/>
    </w:pPr>
    <w:rPr>
      <w:rFonts w:ascii="Times New Roman" w:hAnsi="Times New Roman" w:eastAsia="宋体" w:cs="Times New Roman"/>
      <w:kern w:val="2"/>
      <w:sz w:val="24"/>
      <w:szCs w:val="24"/>
      <w:lang w:val="en-US" w:eastAsia="zh-CN" w:bidi="ar-SA"/>
    </w:rPr>
  </w:style>
  <w:style w:type="paragraph" w:styleId="5">
    <w:name w:val="Plain Text"/>
    <w:qFormat/>
    <w:uiPriority w:val="0"/>
    <w:pPr>
      <w:widowControl w:val="0"/>
      <w:jc w:val="both"/>
    </w:pPr>
    <w:rPr>
      <w:rFonts w:ascii="宋体" w:hAnsi="Courier New" w:eastAsia="宋体" w:cs="Times New Roman"/>
      <w:kern w:val="2"/>
      <w:sz w:val="21"/>
      <w:szCs w:val="20"/>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10">
    <w:name w:val="BodyText"/>
    <w:qFormat/>
    <w:uiPriority w:val="0"/>
    <w:pPr>
      <w:widowControl w:val="0"/>
      <w:spacing w:after="120"/>
      <w:jc w:val="both"/>
    </w:pPr>
    <w:rPr>
      <w:rFonts w:ascii="Times New Roman" w:hAnsi="Times New Roman" w:eastAsia="等线" w:cs="Times New Roman"/>
      <w:kern w:val="2"/>
      <w:sz w:val="21"/>
      <w:szCs w:val="21"/>
      <w:lang w:val="en-US" w:eastAsia="zh-CN" w:bidi="ar-SA"/>
    </w:rPr>
  </w:style>
  <w:style w:type="paragraph" w:customStyle="1" w:styleId="11">
    <w:name w:val="正文格式"/>
    <w:qFormat/>
    <w:uiPriority w:val="0"/>
    <w:pPr>
      <w:widowControl/>
      <w:adjustRightInd w:val="0"/>
      <w:snapToGrid w:val="0"/>
      <w:spacing w:line="400" w:lineRule="atLeast"/>
      <w:ind w:firstLine="482"/>
      <w:jc w:val="both"/>
      <w:textAlignment w:val="baseline"/>
    </w:pPr>
    <w:rPr>
      <w:rFonts w:ascii="等线" w:hAnsi="等线" w:eastAsia="等线" w:cs="Times New Roman"/>
      <w:kern w:val="0"/>
      <w:sz w:val="24"/>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2024-03-07T08:04:00Z</dcterms:created>
  <dc:creator>Administrator</dc:creator>
  <cp:lastModifiedBy> 哔哩哔哩小蘑菇</cp:lastModifiedBy>
  <cp:lastPrinted>2024-03-15T02:21:53Z</cp:lastPrinted>
  <dcterms:modified xsi:type="dcterms:W3CDTF">2024-03-15T02:23:21Z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