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HAnsi" w:hAnsiTheme="minorHAnsi" w:eastAsiaTheme="minorEastAsia" w:cstheme="minorBidi"/>
          <w:b/>
          <w:bCs/>
          <w:sz w:val="32"/>
          <w:szCs w:val="32"/>
          <w:lang w:val="en-US" w:eastAsia="zh-CN"/>
        </w:rPr>
        <w:t>总院、鱼峰、西院传呼系统配件</w:t>
      </w:r>
      <w:r>
        <w:rPr>
          <w:rFonts w:hint="eastAsia" w:asciiTheme="minorHAnsi" w:hAnsiTheme="minorHAnsi" w:eastAsiaTheme="minorEastAsia" w:cstheme="minorBidi"/>
          <w:b/>
          <w:bCs/>
          <w:sz w:val="32"/>
          <w:szCs w:val="32"/>
        </w:rPr>
        <w:t>采购</w:t>
      </w:r>
      <w:r>
        <w:rPr>
          <w:rFonts w:hint="eastAsia" w:cstheme="minorBidi"/>
          <w:b/>
          <w:bCs/>
          <w:sz w:val="32"/>
          <w:szCs w:val="32"/>
          <w:lang w:val="en-US" w:eastAsia="zh-CN"/>
        </w:rPr>
        <w:t>的</w:t>
      </w:r>
      <w:r>
        <w:rPr>
          <w:rFonts w:hint="eastAsia" w:asciiTheme="minorEastAsia" w:hAnsiTheme="minorEastAsia" w:eastAsiaTheme="minorEastAsia" w:cstheme="minorEastAsia"/>
          <w:b/>
          <w:bCs/>
          <w:color w:val="auto"/>
          <w:sz w:val="32"/>
          <w:szCs w:val="32"/>
        </w:rPr>
        <w:t>项目</w:t>
      </w:r>
      <w:r>
        <w:rPr>
          <w:rFonts w:hint="eastAsia" w:asciiTheme="minorEastAsia" w:hAnsiTheme="minorEastAsia" w:eastAsiaTheme="minorEastAsia" w:cstheme="minorEastAsia"/>
          <w:b/>
          <w:bCs/>
          <w:color w:val="auto"/>
          <w:sz w:val="32"/>
          <w:szCs w:val="32"/>
          <w:lang w:val="en-US" w:eastAsia="zh-CN"/>
        </w:rPr>
        <w:t>需求</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总院、鱼峰、西院传呼系统配件</w:t>
      </w:r>
      <w:r>
        <w:rPr>
          <w:rFonts w:hint="eastAsia" w:ascii="宋体" w:hAnsi="宋体" w:eastAsia="宋体" w:cs="宋体"/>
          <w:b w:val="0"/>
          <w:bCs w:val="0"/>
          <w:color w:val="auto"/>
          <w:sz w:val="21"/>
          <w:szCs w:val="21"/>
        </w:rPr>
        <w:t>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国内注册（指按国家有关规定要求注册的）生产或营业执照的经营范围达到本次招标采购货物及服务要求的生产厂家或供应商。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投标人有效的“营业执照”副本复印件。</w:t>
      </w:r>
      <w:r>
        <w:rPr>
          <w:rFonts w:hint="eastAsia" w:ascii="宋体" w:hAnsi="宋体" w:eastAsia="宋体" w:cs="宋体"/>
          <w:b w:val="0"/>
          <w:bCs w:val="0"/>
          <w:color w:val="auto"/>
          <w:sz w:val="21"/>
          <w:szCs w:val="21"/>
          <w:lang w:val="en-US" w:eastAsia="zh-CN"/>
        </w:rPr>
        <w:tab/>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lang w:val="en-US" w:eastAsia="zh-CN"/>
        </w:rPr>
      </w:pPr>
      <w:r>
        <w:rPr>
          <w:rFonts w:hint="eastAsia" w:ascii="宋体" w:hAnsi="宋体" w:eastAsia="宋体" w:cs="宋体"/>
          <w:b w:val="0"/>
          <w:bCs w:val="0"/>
          <w:color w:val="auto"/>
          <w:sz w:val="21"/>
          <w:szCs w:val="21"/>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宋体" w:hAnsi="宋体" w:eastAsia="宋体" w:cs="宋体"/>
          <w:b/>
          <w:bCs/>
          <w:color w:val="auto"/>
          <w:sz w:val="21"/>
          <w:szCs w:val="21"/>
          <w:lang w:val="en-US" w:eastAsia="zh-CN"/>
        </w:rPr>
        <w:t>采购产品（该项目分为两个标段）</w:t>
      </w:r>
    </w:p>
    <w:p>
      <w:pPr>
        <w:widowControl w:val="0"/>
        <w:spacing w:after="120"/>
        <w:jc w:val="both"/>
        <w:rPr>
          <w:rFonts w:hint="eastAsia"/>
          <w:lang w:val="en-US" w:eastAsia="zh-CN"/>
        </w:rPr>
      </w:pPr>
      <w:r>
        <w:rPr>
          <w:rFonts w:hint="eastAsia" w:ascii="宋体" w:hAnsi="宋体" w:eastAsia="宋体" w:cs="宋体"/>
          <w:b/>
          <w:bCs/>
          <w:color w:val="auto"/>
          <w:kern w:val="2"/>
          <w:sz w:val="21"/>
          <w:szCs w:val="21"/>
          <w:lang w:val="en-US" w:eastAsia="zh-CN" w:bidi="ar-SA"/>
        </w:rPr>
        <w:t>标段一：</w:t>
      </w:r>
    </w:p>
    <w:tbl>
      <w:tblPr>
        <w:tblStyle w:val="6"/>
        <w:tblW w:w="9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3"/>
        <w:gridCol w:w="3437"/>
        <w:gridCol w:w="866"/>
        <w:gridCol w:w="1731"/>
        <w:gridCol w:w="1591"/>
        <w:gridCol w:w="158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90" w:hRule="atLeast"/>
        </w:trPr>
        <w:tc>
          <w:tcPr>
            <w:tcW w:w="971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鱼峰、西院传呼系统配件清单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序号</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商品规格/型号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报价</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DL-018（60床）主机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DL-018（60床）</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DL-008G（60床）主机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DL-008G（60床</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B3型分机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B3型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2000（或018）型主板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2000（或018）型分机板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2000（或018型）卫生间分机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2000（或018型）型四位数双面显示屏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2000（或018型）型治疗室小显屏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2000型显示屏中间板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IP100型主机触屏推动板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IP100型10寸触摸屏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IP100型门口机触屏推动板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IP100型分机4.3寸屏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IP100型分机变压器（12v）</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IP100型主机变压器（24v）</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IP100型分机吊咪线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安装IP100型软件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IP100型电脑硬盘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IP100型卫生间分机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IP100型五口交换机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IP100型24口交换机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IP300型分机(6寸)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IP300型(6寸)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IP300型分机手柄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IP300型门口分机(10寸)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中文走廊显示屏(DL-XPC-6)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(DL-XPC-6)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IP300型主控箱</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02型台式主机(80)床</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02型主机板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IP300型床头分机板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IP300型分机显示屏(6寸)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IP300型(6寸)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IP300型门口分机显示屏(10寸)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02型主机电话板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中文走廊显示屏主板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普通吊咪线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咪头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音调板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分机改号费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分机安装（改装）材料费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大显示屏数码管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调试费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无线分机接收控制盒</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无线分机(发射)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听筒线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主机压舌件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bl>
    <w:p>
      <w:pPr>
        <w:rPr>
          <w:rFonts w:hint="eastAsia"/>
          <w:lang w:val="en-US" w:eastAsia="zh-CN"/>
        </w:rPr>
      </w:pPr>
    </w:p>
    <w:p>
      <w:pPr>
        <w:rPr>
          <w:rFonts w:hint="default" w:eastAsiaTheme="minorEastAsia"/>
          <w:b/>
          <w:bCs/>
          <w:lang w:val="en-US" w:eastAsia="zh-CN"/>
        </w:rPr>
      </w:pPr>
      <w:r>
        <w:rPr>
          <w:rFonts w:hint="eastAsia"/>
          <w:b/>
          <w:bCs/>
          <w:lang w:val="en-US" w:eastAsia="zh-CN"/>
        </w:rPr>
        <w:t>标段二：</w:t>
      </w:r>
    </w:p>
    <w:tbl>
      <w:tblPr>
        <w:tblStyle w:val="6"/>
        <w:tblW w:w="9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3"/>
        <w:gridCol w:w="3437"/>
        <w:gridCol w:w="866"/>
        <w:gridCol w:w="1731"/>
        <w:gridCol w:w="1591"/>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971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总院传呼系统配件清单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序号</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商品规格/型号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报价</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医护主机(927)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YH-927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主控机(997S)</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YH-997S</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门口机(6227)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YH-6227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床头机(6207)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YH-6207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走廊显示屏(D208SA)</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YH-D208SA</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紧急呼叫分机(6277)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YH-6277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值班分机(6127）</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YH-6127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无线主机（W81）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YH-W81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无线分机（WN1）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YH-WN1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bl>
    <w:p>
      <w:pPr>
        <w:keepNext w:val="0"/>
        <w:keepLines w:val="0"/>
        <w:widowControl/>
        <w:suppressLineNumbers w:val="0"/>
        <w:ind w:firstLine="422" w:firstLineChars="200"/>
        <w:jc w:val="left"/>
        <w:textAlignment w:val="top"/>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备注：以上所列出产品为医院原用设备品牌配件，为保证产品质量，投标供应商需承诺在提供相关配件时同时提供相应授权。</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服务要求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设备必须是设备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报价要求和结算方式</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根据采购产品清单进行报价，报价应包含产品费用，人工费、运输费、开票税金及质保等所有费用的价格。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bCs/>
          <w:color w:val="auto"/>
          <w:sz w:val="21"/>
          <w:szCs w:val="21"/>
          <w:lang w:val="en-US" w:eastAsia="zh-CN"/>
        </w:rPr>
        <w:t>合同期</w:t>
      </w:r>
      <w:r>
        <w:rPr>
          <w:rFonts w:hint="eastAsia" w:ascii="宋体" w:hAnsi="宋体" w:eastAsia="宋体" w:cs="宋体"/>
          <w:b/>
          <w:bCs/>
          <w:color w:val="auto"/>
          <w:sz w:val="21"/>
          <w:szCs w:val="21"/>
          <w:u w:val="single"/>
          <w:lang w:val="en-US" w:eastAsia="zh-CN"/>
        </w:rPr>
        <w:t>1</w:t>
      </w:r>
      <w:r>
        <w:rPr>
          <w:rFonts w:hint="eastAsia" w:ascii="宋体" w:hAnsi="宋体" w:eastAsia="宋体" w:cs="宋体"/>
          <w:b/>
          <w:bCs/>
          <w:color w:val="auto"/>
          <w:sz w:val="21"/>
          <w:szCs w:val="21"/>
          <w:lang w:val="en-US" w:eastAsia="zh-CN"/>
        </w:rPr>
        <w:t>年</w:t>
      </w:r>
      <w:r>
        <w:rPr>
          <w:rFonts w:hint="eastAsia" w:ascii="宋体" w:hAnsi="宋体" w:eastAsia="宋体" w:cs="宋体"/>
          <w:b w:val="0"/>
          <w:bCs w:val="0"/>
          <w:color w:val="auto"/>
          <w:sz w:val="21"/>
          <w:szCs w:val="21"/>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务商遴选方式</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对服务商的服务质量、及时性及价格进行综合评价，</w:t>
      </w:r>
      <w:r>
        <w:rPr>
          <w:rFonts w:hint="eastAsia" w:hAnsi="宋体" w:eastAsia="宋体" w:cs="宋体"/>
          <w:b w:val="0"/>
          <w:bCs w:val="0"/>
          <w:color w:val="auto"/>
          <w:kern w:val="2"/>
          <w:sz w:val="21"/>
          <w:szCs w:val="21"/>
          <w:highlight w:val="none"/>
          <w:lang w:val="en-US" w:eastAsia="zh-CN" w:bidi="ar-SA"/>
        </w:rPr>
        <w:t>每个标段</w:t>
      </w:r>
      <w:r>
        <w:rPr>
          <w:rFonts w:hint="eastAsia" w:ascii="宋体" w:hAnsi="宋体" w:eastAsia="宋体" w:cs="宋体"/>
          <w:b w:val="0"/>
          <w:bCs w:val="0"/>
          <w:color w:val="auto"/>
          <w:kern w:val="2"/>
          <w:sz w:val="21"/>
          <w:szCs w:val="21"/>
          <w:highlight w:val="none"/>
          <w:lang w:val="en-US" w:eastAsia="zh-CN" w:bidi="ar-SA"/>
        </w:rPr>
        <w:t>遴选1家服务商。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承办科室：总务科               申请科室：后勤社会化服务管理办公室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科主任：                       科主任：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经办人：                       经办人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733" w:rightChars="-349"/>
        <w:textAlignment w:val="auto"/>
        <w:rPr>
          <w:rFonts w:hint="default" w:ascii="宋体" w:hAnsi="宋体" w:cs="宋体"/>
          <w:sz w:val="24"/>
          <w:szCs w:val="24"/>
          <w:lang w:val="en-US" w:eastAsia="zh-CN"/>
        </w:rPr>
      </w:pPr>
      <w:r>
        <w:rPr>
          <w:rFonts w:hint="eastAsia" w:ascii="宋体" w:hAnsi="宋体" w:cs="宋体"/>
          <w:sz w:val="24"/>
          <w:szCs w:val="24"/>
          <w:lang w:val="en-US" w:eastAsia="zh-CN"/>
        </w:rPr>
        <w:t>时间：                          时间：</w:t>
      </w:r>
    </w:p>
    <w:p>
      <w:pPr>
        <w:pStyle w:val="4"/>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3">
    <w:nsid w:val="651084F0"/>
    <w:multiLevelType w:val="singleLevel"/>
    <w:tmpl w:val="651084F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39239DC"/>
    <w:rsid w:val="08D46D94"/>
    <w:rsid w:val="0E302E5F"/>
    <w:rsid w:val="0E5D5F75"/>
    <w:rsid w:val="123268EA"/>
    <w:rsid w:val="16A8262D"/>
    <w:rsid w:val="18A001F1"/>
    <w:rsid w:val="190957E7"/>
    <w:rsid w:val="1E32507D"/>
    <w:rsid w:val="1EA35638"/>
    <w:rsid w:val="1F857C71"/>
    <w:rsid w:val="25E621A8"/>
    <w:rsid w:val="265F3EDF"/>
    <w:rsid w:val="29AB15D2"/>
    <w:rsid w:val="2E25578E"/>
    <w:rsid w:val="33784D69"/>
    <w:rsid w:val="3879605E"/>
    <w:rsid w:val="38A32EF9"/>
    <w:rsid w:val="39144F99"/>
    <w:rsid w:val="3D862955"/>
    <w:rsid w:val="3F570982"/>
    <w:rsid w:val="47C44482"/>
    <w:rsid w:val="491207CF"/>
    <w:rsid w:val="4B7769BB"/>
    <w:rsid w:val="50300FD8"/>
    <w:rsid w:val="53434E0F"/>
    <w:rsid w:val="5C1C15A6"/>
    <w:rsid w:val="66454836"/>
    <w:rsid w:val="6CBB2B4B"/>
    <w:rsid w:val="762802B9"/>
    <w:rsid w:val="76E93656"/>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2023-08-28T08:55:00Z</cp:lastPrinted>
  <dcterms:modified xsi:type="dcterms:W3CDTF">2023-12-19T09:16:07Z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