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经典标宋简" w:eastAsia="经典标宋简"/>
          <w:b/>
          <w:snapToGrid w:val="0"/>
          <w:kern w:val="0"/>
          <w:sz w:val="44"/>
          <w:szCs w:val="44"/>
        </w:rPr>
      </w:pPr>
      <w:r>
        <w:rPr>
          <w:rFonts w:hint="eastAsia" w:ascii="Calibri" w:hAnsi="Calibri" w:eastAsia="宋体" w:cs="Times New Roman"/>
          <w:b/>
          <w:bCs/>
          <w:sz w:val="32"/>
          <w:szCs w:val="32"/>
          <w:lang w:val="en-US" w:eastAsia="zh-CN"/>
        </w:rPr>
        <w:t>柳州市工人医院总院中型箱式物流传输系统维保服务及配件耗材采购项目</w:t>
      </w:r>
      <w:r>
        <w:rPr>
          <w:rFonts w:hint="eastAsia" w:ascii="Calibri" w:hAnsi="Calibri" w:cs="Times New Roman"/>
          <w:b/>
          <w:bCs/>
          <w:sz w:val="32"/>
          <w:szCs w:val="32"/>
          <w:lang w:val="en-US" w:eastAsia="zh-CN"/>
        </w:rPr>
        <w:t>需求</w:t>
      </w:r>
    </w:p>
    <w:p>
      <w:pPr>
        <w:adjustRightInd w:val="0"/>
        <w:snapToGrid w:val="0"/>
        <w:spacing w:line="300" w:lineRule="auto"/>
        <w:jc w:val="center"/>
        <w:rPr>
          <w:rFonts w:ascii="经典标宋简" w:eastAsia="经典标宋简"/>
          <w:b/>
          <w:snapToGrid w:val="0"/>
          <w:kern w:val="0"/>
          <w:sz w:val="44"/>
          <w:szCs w:val="44"/>
        </w:rPr>
      </w:pPr>
    </w:p>
    <w:p>
      <w:pPr>
        <w:pStyle w:val="322"/>
        <w:numPr>
          <w:ilvl w:val="0"/>
          <w:numId w:val="4"/>
        </w:numPr>
        <w:ind w:firstLine="482" w:firstLineChars="200"/>
        <w:rPr>
          <w:rFonts w:hint="eastAsia"/>
          <w:b/>
          <w:color w:val="auto"/>
        </w:rPr>
      </w:pPr>
      <w:r>
        <w:rPr>
          <w:rFonts w:hint="eastAsia"/>
          <w:b/>
          <w:color w:val="auto"/>
          <w:lang w:val="en-US" w:eastAsia="zh-CN"/>
        </w:rPr>
        <w:t>项目名称</w:t>
      </w:r>
    </w:p>
    <w:p>
      <w:pPr>
        <w:adjustRightInd w:val="0"/>
        <w:snapToGrid w:val="0"/>
        <w:spacing w:line="300" w:lineRule="auto"/>
        <w:ind w:firstLine="420" w:firstLineChars="200"/>
        <w:jc w:val="left"/>
        <w:rPr>
          <w:rFonts w:hint="eastAsia" w:ascii="宋体" w:hAnsi="宋体" w:cs="Times New Roman"/>
          <w:bCs/>
          <w:color w:val="000000" w:themeColor="text1"/>
          <w:kern w:val="0"/>
          <w:szCs w:val="21"/>
          <w14:textFill>
            <w14:solidFill>
              <w14:schemeClr w14:val="tx1"/>
            </w14:solidFill>
          </w14:textFill>
        </w:rPr>
      </w:pPr>
      <w:bookmarkStart w:id="0" w:name="_GoBack"/>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柳州市工人医院总院中型箱式物流传输系统维保服务及配件耗材采购项目</w:t>
      </w:r>
    </w:p>
    <w:bookmarkEnd w:id="0"/>
    <w:p>
      <w:pPr>
        <w:pStyle w:val="322"/>
        <w:numPr>
          <w:ilvl w:val="0"/>
          <w:numId w:val="4"/>
        </w:numPr>
        <w:ind w:firstLine="482" w:firstLineChars="200"/>
        <w:rPr>
          <w:rFonts w:hint="eastAsia"/>
          <w:b/>
          <w:color w:val="auto"/>
        </w:rPr>
      </w:pPr>
      <w:r>
        <w:rPr>
          <w:rFonts w:hint="eastAsia"/>
          <w:b/>
          <w:color w:val="auto"/>
        </w:rPr>
        <w:t>项目概况</w:t>
      </w:r>
    </w:p>
    <w:p>
      <w:pPr>
        <w:numPr>
          <w:ilvl w:val="0"/>
          <w:numId w:val="5"/>
        </w:numPr>
        <w:adjustRightInd w:val="0"/>
        <w:snapToGrid w:val="0"/>
        <w:spacing w:line="300" w:lineRule="auto"/>
        <w:ind w:firstLine="420" w:firstLineChars="200"/>
        <w:jc w:val="left"/>
        <w:rPr>
          <w:rFonts w:hint="eastAsia" w:ascii="宋体" w:hAnsi="宋体" w:cs="Times New Roman"/>
          <w:bCs/>
          <w:color w:val="000000" w:themeColor="text1"/>
          <w:kern w:val="0"/>
          <w:szCs w:val="21"/>
          <w14:textFill>
            <w14:solidFill>
              <w14:schemeClr w14:val="tx1"/>
            </w14:solidFill>
          </w14:textFill>
        </w:rPr>
      </w:pPr>
      <w:r>
        <w:rPr>
          <w:rFonts w:hint="eastAsia" w:ascii="宋体" w:hAnsi="宋体" w:cs="Times New Roman"/>
          <w:bCs/>
          <w:color w:val="000000" w:themeColor="text1"/>
          <w:kern w:val="0"/>
          <w:szCs w:val="21"/>
          <w14:textFill>
            <w14:solidFill>
              <w14:schemeClr w14:val="tx1"/>
            </w14:solidFill>
          </w14:textFill>
        </w:rPr>
        <w:t>本项目为</w:t>
      </w:r>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柳州市工人医院总院中型箱式物流传输系统维保服务及配件耗材采购</w:t>
      </w:r>
      <w:r>
        <w:rPr>
          <w:rFonts w:hint="eastAsia" w:ascii="宋体" w:hAnsi="宋体" w:cs="Times New Roman"/>
          <w:bCs/>
          <w:color w:val="000000" w:themeColor="text1"/>
          <w:kern w:val="0"/>
          <w:szCs w:val="21"/>
          <w14:textFill>
            <w14:solidFill>
              <w14:schemeClr w14:val="tx1"/>
            </w14:solidFill>
          </w14:textFill>
        </w:rPr>
        <w:t>项目，</w:t>
      </w:r>
      <w:r>
        <w:rPr>
          <w:rFonts w:hint="eastAsia" w:ascii="宋体" w:hAnsi="宋体" w:cs="Times New Roman"/>
          <w:bCs/>
          <w:color w:val="000000" w:themeColor="text1"/>
          <w:kern w:val="0"/>
          <w:szCs w:val="21"/>
          <w:lang w:eastAsia="zh-CN"/>
          <w14:textFill>
            <w14:solidFill>
              <w14:schemeClr w14:val="tx1"/>
            </w14:solidFill>
          </w14:textFill>
        </w:rPr>
        <w:t>系统型号：</w:t>
      </w:r>
      <w:r>
        <w:rPr>
          <w:rFonts w:hint="eastAsia" w:ascii="宋体" w:hAnsi="宋体" w:cs="Times New Roman"/>
          <w:bCs/>
          <w:color w:val="000000" w:themeColor="text1"/>
          <w:kern w:val="0"/>
          <w:szCs w:val="21"/>
          <w:lang w:val="en-US" w:eastAsia="zh-CN"/>
          <w14:textFill>
            <w14:solidFill>
              <w14:schemeClr w14:val="tx1"/>
            </w14:solidFill>
          </w14:textFill>
        </w:rPr>
        <w:t>柳州市工人医院总院中型箱式物流传输系统</w:t>
      </w:r>
      <w:r>
        <w:rPr>
          <w:rFonts w:hint="eastAsia" w:ascii="宋体" w:hAnsi="宋体" w:cs="Times New Roman"/>
          <w:bCs/>
          <w:color w:val="000000" w:themeColor="text1"/>
          <w:kern w:val="0"/>
          <w:szCs w:val="21"/>
          <w14:textFill>
            <w14:solidFill>
              <w14:schemeClr w14:val="tx1"/>
            </w14:solidFill>
          </w14:textFill>
        </w:rPr>
        <w:t>INST3000</w:t>
      </w:r>
      <w:r>
        <w:rPr>
          <w:rFonts w:hint="eastAsia" w:ascii="宋体" w:hAnsi="宋体" w:cs="Times New Roman"/>
          <w:bCs/>
          <w:color w:val="000000" w:themeColor="text1"/>
          <w:kern w:val="0"/>
          <w:szCs w:val="21"/>
          <w:lang w:eastAsia="zh-CN"/>
          <w14:textFill>
            <w14:solidFill>
              <w14:schemeClr w14:val="tx1"/>
            </w14:solidFill>
          </w14:textFill>
        </w:rPr>
        <w:t>，</w:t>
      </w:r>
      <w:r>
        <w:rPr>
          <w:rFonts w:hint="eastAsia" w:ascii="宋体" w:hAnsi="宋体" w:cs="Times New Roman"/>
          <w:bCs/>
          <w:color w:val="000000" w:themeColor="text1"/>
          <w:kern w:val="0"/>
          <w:szCs w:val="21"/>
          <w14:textFill>
            <w14:solidFill>
              <w14:schemeClr w14:val="tx1"/>
            </w14:solidFill>
          </w14:textFill>
        </w:rPr>
        <w:t>共设置55个站点(41收发货站点和14个层面交换点）。</w:t>
      </w:r>
    </w:p>
    <w:p>
      <w:pPr>
        <w:adjustRightInd w:val="0"/>
        <w:snapToGrid w:val="0"/>
        <w:spacing w:line="300" w:lineRule="auto"/>
        <w:ind w:firstLine="422" w:firstLineChars="200"/>
        <w:jc w:val="left"/>
        <w:rPr>
          <w:rFonts w:ascii="宋体" w:hAnsi="宋体"/>
          <w:bCs/>
          <w:color w:val="000000"/>
          <w:kern w:val="0"/>
          <w:szCs w:val="21"/>
        </w:rPr>
      </w:pPr>
      <w:r>
        <w:rPr>
          <w:rFonts w:hint="eastAsia" w:ascii="宋体" w:hAnsi="宋体"/>
          <w:b/>
          <w:bCs/>
          <w:color w:val="000000"/>
          <w:szCs w:val="21"/>
        </w:rPr>
        <w:t>2、站点分布图：</w:t>
      </w:r>
    </w:p>
    <w:tbl>
      <w:tblPr>
        <w:tblStyle w:val="51"/>
        <w:tblW w:w="9039" w:type="dxa"/>
        <w:tblInd w:w="0" w:type="dxa"/>
        <w:tblLayout w:type="fixed"/>
        <w:tblCellMar>
          <w:top w:w="0" w:type="dxa"/>
          <w:left w:w="108" w:type="dxa"/>
          <w:bottom w:w="0" w:type="dxa"/>
          <w:right w:w="108" w:type="dxa"/>
        </w:tblCellMar>
      </w:tblPr>
      <w:tblGrid>
        <w:gridCol w:w="1357"/>
        <w:gridCol w:w="1509"/>
        <w:gridCol w:w="4046"/>
        <w:gridCol w:w="2127"/>
      </w:tblGrid>
      <w:tr>
        <w:tblPrEx>
          <w:tblLayout w:type="fixed"/>
          <w:tblCellMar>
            <w:top w:w="0" w:type="dxa"/>
            <w:left w:w="108" w:type="dxa"/>
            <w:bottom w:w="0" w:type="dxa"/>
            <w:right w:w="108" w:type="dxa"/>
          </w:tblCellMar>
        </w:tblPrEx>
        <w:trPr>
          <w:trHeight w:val="381" w:hRule="atLeast"/>
        </w:trPr>
        <w:tc>
          <w:tcPr>
            <w:tcW w:w="9039" w:type="dxa"/>
            <w:gridSpan w:val="4"/>
            <w:tcBorders>
              <w:top w:val="single" w:color="auto" w:sz="4" w:space="0"/>
              <w:left w:val="single" w:color="auto" w:sz="4" w:space="0"/>
              <w:bottom w:val="single" w:color="auto" w:sz="4" w:space="0"/>
              <w:right w:val="single" w:color="000000" w:sz="4" w:space="0"/>
            </w:tcBorders>
            <w:noWrap/>
            <w:vAlign w:val="center"/>
          </w:tcPr>
          <w:p>
            <w:pPr>
              <w:pStyle w:val="38"/>
              <w:ind w:left="420" w:hanging="420"/>
              <w:jc w:val="center"/>
            </w:pPr>
            <w:r>
              <w:rPr>
                <w:rFonts w:hint="eastAsia"/>
              </w:rPr>
              <w:t>中型物流系统</w:t>
            </w:r>
          </w:p>
        </w:tc>
      </w:tr>
      <w:tr>
        <w:tblPrEx>
          <w:tblLayout w:type="fixed"/>
          <w:tblCellMar>
            <w:top w:w="0" w:type="dxa"/>
            <w:left w:w="108" w:type="dxa"/>
            <w:bottom w:w="0" w:type="dxa"/>
            <w:right w:w="108" w:type="dxa"/>
          </w:tblCellMar>
        </w:tblPrEx>
        <w:trPr>
          <w:trHeight w:val="381" w:hRule="atLeast"/>
        </w:trPr>
        <w:tc>
          <w:tcPr>
            <w:tcW w:w="1357" w:type="dxa"/>
            <w:tcBorders>
              <w:top w:val="nil"/>
              <w:left w:val="single" w:color="auto" w:sz="4" w:space="0"/>
              <w:bottom w:val="single" w:color="auto" w:sz="4" w:space="0"/>
              <w:right w:val="single" w:color="auto" w:sz="4" w:space="0"/>
            </w:tcBorders>
            <w:noWrap/>
            <w:vAlign w:val="center"/>
          </w:tcPr>
          <w:p>
            <w:pPr>
              <w:pStyle w:val="38"/>
              <w:ind w:left="420" w:hanging="420"/>
              <w:jc w:val="center"/>
            </w:pPr>
            <w:r>
              <w:rPr>
                <w:rFonts w:hint="eastAsia"/>
              </w:rPr>
              <w:t>楼宇</w:t>
            </w:r>
          </w:p>
        </w:tc>
        <w:tc>
          <w:tcPr>
            <w:tcW w:w="1509" w:type="dxa"/>
            <w:tcBorders>
              <w:top w:val="nil"/>
              <w:left w:val="nil"/>
              <w:bottom w:val="single" w:color="auto" w:sz="4" w:space="0"/>
              <w:right w:val="single" w:color="auto" w:sz="4" w:space="0"/>
            </w:tcBorders>
            <w:noWrap/>
            <w:vAlign w:val="center"/>
          </w:tcPr>
          <w:p>
            <w:pPr>
              <w:pStyle w:val="38"/>
              <w:ind w:left="420" w:hanging="420"/>
              <w:jc w:val="center"/>
            </w:pPr>
            <w:r>
              <w:rPr>
                <w:rFonts w:hint="eastAsia"/>
              </w:rPr>
              <w:t>楼层</w:t>
            </w:r>
          </w:p>
        </w:tc>
        <w:tc>
          <w:tcPr>
            <w:tcW w:w="4046" w:type="dxa"/>
            <w:tcBorders>
              <w:top w:val="nil"/>
              <w:left w:val="nil"/>
              <w:bottom w:val="single" w:color="auto" w:sz="4" w:space="0"/>
              <w:right w:val="single" w:color="auto" w:sz="4" w:space="0"/>
            </w:tcBorders>
            <w:noWrap/>
            <w:vAlign w:val="center"/>
          </w:tcPr>
          <w:p>
            <w:pPr>
              <w:pStyle w:val="38"/>
              <w:ind w:left="420" w:hanging="420"/>
              <w:jc w:val="center"/>
            </w:pPr>
            <w:r>
              <w:rPr>
                <w:rFonts w:hint="eastAsia"/>
              </w:rPr>
              <w:t>科室</w:t>
            </w:r>
          </w:p>
        </w:tc>
        <w:tc>
          <w:tcPr>
            <w:tcW w:w="2127" w:type="dxa"/>
            <w:tcBorders>
              <w:top w:val="nil"/>
              <w:left w:val="nil"/>
              <w:bottom w:val="single" w:color="auto" w:sz="4" w:space="0"/>
              <w:right w:val="single" w:color="auto" w:sz="4" w:space="0"/>
            </w:tcBorders>
            <w:noWrap/>
            <w:vAlign w:val="center"/>
          </w:tcPr>
          <w:p>
            <w:pPr>
              <w:pStyle w:val="38"/>
              <w:ind w:left="420" w:hanging="420"/>
              <w:jc w:val="center"/>
            </w:pPr>
            <w:r>
              <w:rPr>
                <w:rFonts w:hint="eastAsia"/>
              </w:rPr>
              <w:t>站点数</w:t>
            </w:r>
          </w:p>
        </w:tc>
      </w:tr>
      <w:tr>
        <w:tblPrEx>
          <w:tblLayout w:type="fixed"/>
          <w:tblCellMar>
            <w:top w:w="0" w:type="dxa"/>
            <w:left w:w="108" w:type="dxa"/>
            <w:bottom w:w="0" w:type="dxa"/>
            <w:right w:w="108" w:type="dxa"/>
          </w:tblCellMar>
        </w:tblPrEx>
        <w:trPr>
          <w:trHeight w:val="381" w:hRule="atLeast"/>
        </w:trPr>
        <w:tc>
          <w:tcPr>
            <w:tcW w:w="1357" w:type="dxa"/>
            <w:vMerge w:val="restart"/>
            <w:tcBorders>
              <w:top w:val="nil"/>
              <w:left w:val="single" w:color="auto" w:sz="4" w:space="0"/>
              <w:bottom w:val="single" w:color="auto" w:sz="4" w:space="0"/>
              <w:right w:val="single" w:color="auto" w:sz="4" w:space="0"/>
            </w:tcBorders>
            <w:noWrap/>
            <w:vAlign w:val="center"/>
          </w:tcPr>
          <w:p>
            <w:pPr>
              <w:pStyle w:val="38"/>
              <w:ind w:left="420" w:hanging="420"/>
              <w:jc w:val="center"/>
            </w:pPr>
            <w:r>
              <w:t>裙楼</w:t>
            </w:r>
          </w:p>
        </w:tc>
        <w:tc>
          <w:tcPr>
            <w:tcW w:w="1509" w:type="dxa"/>
            <w:tcBorders>
              <w:top w:val="nil"/>
              <w:left w:val="nil"/>
              <w:bottom w:val="single" w:color="auto" w:sz="4" w:space="0"/>
              <w:right w:val="single" w:color="auto" w:sz="4" w:space="0"/>
            </w:tcBorders>
            <w:noWrap/>
            <w:vAlign w:val="center"/>
          </w:tcPr>
          <w:p>
            <w:pPr>
              <w:pStyle w:val="38"/>
              <w:ind w:left="420" w:hanging="420"/>
              <w:jc w:val="center"/>
            </w:pPr>
            <w:r>
              <w:t>2</w:t>
            </w:r>
          </w:p>
        </w:tc>
        <w:tc>
          <w:tcPr>
            <w:tcW w:w="4046" w:type="dxa"/>
            <w:tcBorders>
              <w:top w:val="nil"/>
              <w:left w:val="nil"/>
              <w:bottom w:val="single" w:color="auto" w:sz="4" w:space="0"/>
              <w:right w:val="single" w:color="auto" w:sz="4" w:space="0"/>
            </w:tcBorders>
            <w:noWrap/>
            <w:vAlign w:val="center"/>
          </w:tcPr>
          <w:p>
            <w:pPr>
              <w:pStyle w:val="38"/>
              <w:ind w:left="420" w:hanging="420"/>
              <w:jc w:val="center"/>
            </w:pPr>
            <w:r>
              <w:rPr>
                <w:rFonts w:hint="eastAsia"/>
              </w:rPr>
              <w:t>检验科</w:t>
            </w:r>
          </w:p>
        </w:tc>
        <w:tc>
          <w:tcPr>
            <w:tcW w:w="2127" w:type="dxa"/>
            <w:tcBorders>
              <w:top w:val="nil"/>
              <w:left w:val="nil"/>
              <w:bottom w:val="single" w:color="auto" w:sz="4" w:space="0"/>
              <w:right w:val="single" w:color="auto" w:sz="4" w:space="0"/>
            </w:tcBorders>
            <w:noWrap/>
            <w:vAlign w:val="center"/>
          </w:tcPr>
          <w:p>
            <w:pPr>
              <w:pStyle w:val="38"/>
              <w:ind w:left="420" w:hanging="420"/>
              <w:jc w:val="center"/>
            </w:pPr>
            <w:r>
              <w:t>1</w:t>
            </w:r>
          </w:p>
        </w:tc>
      </w:tr>
      <w:tr>
        <w:tblPrEx>
          <w:tblLayout w:type="fixed"/>
          <w:tblCellMar>
            <w:top w:w="0" w:type="dxa"/>
            <w:left w:w="108" w:type="dxa"/>
            <w:bottom w:w="0" w:type="dxa"/>
            <w:right w:w="108" w:type="dxa"/>
          </w:tblCellMar>
        </w:tblPrEx>
        <w:trPr>
          <w:trHeight w:val="381" w:hRule="atLeast"/>
        </w:trPr>
        <w:tc>
          <w:tcPr>
            <w:tcW w:w="1357" w:type="dxa"/>
            <w:vMerge w:val="continue"/>
            <w:tcBorders>
              <w:top w:val="nil"/>
              <w:left w:val="single" w:color="auto" w:sz="4" w:space="0"/>
              <w:bottom w:val="single" w:color="auto" w:sz="4" w:space="0"/>
              <w:right w:val="single" w:color="auto" w:sz="4" w:space="0"/>
            </w:tcBorders>
            <w:noWrap/>
            <w:vAlign w:val="center"/>
          </w:tcPr>
          <w:p>
            <w:pPr>
              <w:pStyle w:val="38"/>
              <w:ind w:left="420" w:hanging="420"/>
              <w:jc w:val="center"/>
            </w:pPr>
          </w:p>
        </w:tc>
        <w:tc>
          <w:tcPr>
            <w:tcW w:w="1509"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4</w:t>
            </w:r>
          </w:p>
        </w:tc>
        <w:tc>
          <w:tcPr>
            <w:tcW w:w="4046"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CCU、输血科、ICU、中心供应</w:t>
            </w:r>
          </w:p>
        </w:tc>
        <w:tc>
          <w:tcPr>
            <w:tcW w:w="2127"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4</w:t>
            </w:r>
          </w:p>
        </w:tc>
      </w:tr>
      <w:tr>
        <w:tblPrEx>
          <w:tblLayout w:type="fixed"/>
          <w:tblCellMar>
            <w:top w:w="0" w:type="dxa"/>
            <w:left w:w="108" w:type="dxa"/>
            <w:bottom w:w="0" w:type="dxa"/>
            <w:right w:w="108" w:type="dxa"/>
          </w:tblCellMar>
        </w:tblPrEx>
        <w:trPr>
          <w:trHeight w:val="381" w:hRule="atLeast"/>
        </w:trPr>
        <w:tc>
          <w:tcPr>
            <w:tcW w:w="1357" w:type="dxa"/>
            <w:vMerge w:val="continue"/>
            <w:tcBorders>
              <w:top w:val="nil"/>
              <w:left w:val="single" w:color="auto" w:sz="4" w:space="0"/>
              <w:bottom w:val="single" w:color="auto" w:sz="4" w:space="0"/>
              <w:right w:val="single" w:color="auto" w:sz="4" w:space="0"/>
            </w:tcBorders>
            <w:noWrap/>
            <w:vAlign w:val="center"/>
          </w:tcPr>
          <w:p>
            <w:pPr>
              <w:pStyle w:val="38"/>
              <w:ind w:left="420" w:hanging="420"/>
              <w:jc w:val="center"/>
            </w:pPr>
          </w:p>
        </w:tc>
        <w:tc>
          <w:tcPr>
            <w:tcW w:w="1509"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5</w:t>
            </w:r>
          </w:p>
        </w:tc>
        <w:tc>
          <w:tcPr>
            <w:tcW w:w="4046"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日间病房</w:t>
            </w:r>
          </w:p>
        </w:tc>
        <w:tc>
          <w:tcPr>
            <w:tcW w:w="2127"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3</w:t>
            </w:r>
          </w:p>
        </w:tc>
      </w:tr>
      <w:tr>
        <w:tblPrEx>
          <w:tblLayout w:type="fixed"/>
          <w:tblCellMar>
            <w:top w:w="0" w:type="dxa"/>
            <w:left w:w="108" w:type="dxa"/>
            <w:bottom w:w="0" w:type="dxa"/>
            <w:right w:w="108" w:type="dxa"/>
          </w:tblCellMar>
        </w:tblPrEx>
        <w:trPr>
          <w:trHeight w:val="381" w:hRule="atLeast"/>
        </w:trPr>
        <w:tc>
          <w:tcPr>
            <w:tcW w:w="1357" w:type="dxa"/>
            <w:vMerge w:val="restart"/>
            <w:tcBorders>
              <w:top w:val="nil"/>
              <w:left w:val="single" w:color="auto" w:sz="4" w:space="0"/>
              <w:bottom w:val="single" w:color="auto" w:sz="4" w:space="0"/>
              <w:right w:val="single" w:color="auto" w:sz="4" w:space="0"/>
            </w:tcBorders>
            <w:noWrap/>
            <w:vAlign w:val="center"/>
          </w:tcPr>
          <w:p>
            <w:pPr>
              <w:pStyle w:val="38"/>
              <w:ind w:left="420" w:hanging="420"/>
              <w:jc w:val="center"/>
            </w:pPr>
            <w:r>
              <w:rPr>
                <w:rFonts w:hint="eastAsia"/>
              </w:rPr>
              <w:t>主楼</w:t>
            </w:r>
          </w:p>
        </w:tc>
        <w:tc>
          <w:tcPr>
            <w:tcW w:w="1509"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1</w:t>
            </w:r>
          </w:p>
        </w:tc>
        <w:tc>
          <w:tcPr>
            <w:tcW w:w="4046"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lang w:eastAsia="zh-CN"/>
              </w:rPr>
              <w:t>耗材科</w:t>
            </w:r>
            <w:r>
              <w:rPr>
                <w:rFonts w:hint="eastAsia" w:ascii="Times New Roman" w:hAnsi="Times New Roman" w:cs="Times New Roman"/>
              </w:rPr>
              <w:t>、中心药房、静配中心</w:t>
            </w:r>
          </w:p>
        </w:tc>
        <w:tc>
          <w:tcPr>
            <w:tcW w:w="2127"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3</w:t>
            </w:r>
          </w:p>
        </w:tc>
      </w:tr>
      <w:tr>
        <w:tblPrEx>
          <w:tblLayout w:type="fixed"/>
          <w:tblCellMar>
            <w:top w:w="0" w:type="dxa"/>
            <w:left w:w="108" w:type="dxa"/>
            <w:bottom w:w="0" w:type="dxa"/>
            <w:right w:w="108" w:type="dxa"/>
          </w:tblCellMar>
        </w:tblPrEx>
        <w:trPr>
          <w:trHeight w:val="381" w:hRule="atLeast"/>
        </w:trPr>
        <w:tc>
          <w:tcPr>
            <w:tcW w:w="1357" w:type="dxa"/>
            <w:vMerge w:val="continue"/>
            <w:tcBorders>
              <w:top w:val="nil"/>
              <w:left w:val="single" w:color="auto" w:sz="4" w:space="0"/>
              <w:bottom w:val="single" w:color="auto" w:sz="4" w:space="0"/>
              <w:right w:val="single" w:color="auto" w:sz="4" w:space="0"/>
            </w:tcBorders>
            <w:noWrap/>
            <w:vAlign w:val="center"/>
          </w:tcPr>
          <w:p>
            <w:pPr>
              <w:pStyle w:val="38"/>
              <w:ind w:left="420" w:hanging="420"/>
              <w:jc w:val="center"/>
            </w:pPr>
          </w:p>
        </w:tc>
        <w:tc>
          <w:tcPr>
            <w:tcW w:w="1509"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2-16</w:t>
            </w:r>
          </w:p>
        </w:tc>
        <w:tc>
          <w:tcPr>
            <w:tcW w:w="4046"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护士站</w:t>
            </w:r>
          </w:p>
        </w:tc>
        <w:tc>
          <w:tcPr>
            <w:tcW w:w="2127"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30</w:t>
            </w:r>
          </w:p>
        </w:tc>
      </w:tr>
      <w:tr>
        <w:tblPrEx>
          <w:tblLayout w:type="fixed"/>
          <w:tblCellMar>
            <w:top w:w="0" w:type="dxa"/>
            <w:left w:w="108" w:type="dxa"/>
            <w:bottom w:w="0" w:type="dxa"/>
            <w:right w:w="108" w:type="dxa"/>
          </w:tblCellMar>
        </w:tblPrEx>
        <w:trPr>
          <w:trHeight w:val="381" w:hRule="atLeast"/>
        </w:trPr>
        <w:tc>
          <w:tcPr>
            <w:tcW w:w="1357" w:type="dxa"/>
            <w:tcBorders>
              <w:top w:val="nil"/>
              <w:left w:val="single" w:color="auto" w:sz="4" w:space="0"/>
              <w:bottom w:val="single" w:color="auto" w:sz="4" w:space="0"/>
              <w:right w:val="single" w:color="auto" w:sz="4" w:space="0"/>
            </w:tcBorders>
            <w:noWrap/>
            <w:vAlign w:val="center"/>
          </w:tcPr>
          <w:p>
            <w:pPr>
              <w:pStyle w:val="38"/>
              <w:ind w:left="420" w:hanging="420"/>
              <w:jc w:val="center"/>
            </w:pPr>
          </w:p>
        </w:tc>
        <w:tc>
          <w:tcPr>
            <w:tcW w:w="1509"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p>
        </w:tc>
        <w:tc>
          <w:tcPr>
            <w:tcW w:w="4046"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层面交换站</w:t>
            </w:r>
          </w:p>
        </w:tc>
        <w:tc>
          <w:tcPr>
            <w:tcW w:w="2127" w:type="dxa"/>
            <w:tcBorders>
              <w:top w:val="nil"/>
              <w:left w:val="nil"/>
              <w:bottom w:val="single" w:color="auto" w:sz="4" w:space="0"/>
              <w:right w:val="single" w:color="auto" w:sz="4" w:space="0"/>
            </w:tcBorders>
            <w:noWrap/>
            <w:vAlign w:val="center"/>
          </w:tcPr>
          <w:p>
            <w:pPr>
              <w:pStyle w:val="38"/>
              <w:ind w:left="420" w:hanging="420"/>
              <w:jc w:val="center"/>
              <w:rPr>
                <w:rFonts w:hint="eastAsia" w:ascii="Times New Roman" w:hAnsi="Times New Roman" w:cs="Times New Roman"/>
              </w:rPr>
            </w:pPr>
            <w:r>
              <w:rPr>
                <w:rFonts w:hint="eastAsia" w:ascii="Times New Roman" w:hAnsi="Times New Roman" w:cs="Times New Roman"/>
              </w:rPr>
              <w:t>14</w:t>
            </w:r>
          </w:p>
        </w:tc>
      </w:tr>
      <w:tr>
        <w:tblPrEx>
          <w:tblLayout w:type="fixed"/>
          <w:tblCellMar>
            <w:top w:w="0" w:type="dxa"/>
            <w:left w:w="108" w:type="dxa"/>
            <w:bottom w:w="0" w:type="dxa"/>
            <w:right w:w="108" w:type="dxa"/>
          </w:tblCellMar>
        </w:tblPrEx>
        <w:trPr>
          <w:trHeight w:val="392" w:hRule="atLeast"/>
        </w:trPr>
        <w:tc>
          <w:tcPr>
            <w:tcW w:w="6912" w:type="dxa"/>
            <w:gridSpan w:val="3"/>
            <w:tcBorders>
              <w:top w:val="single" w:color="auto" w:sz="4" w:space="0"/>
              <w:left w:val="single" w:color="auto" w:sz="4" w:space="0"/>
              <w:bottom w:val="single" w:color="auto" w:sz="4" w:space="0"/>
              <w:right w:val="single" w:color="auto" w:sz="4" w:space="0"/>
            </w:tcBorders>
            <w:noWrap/>
            <w:vAlign w:val="center"/>
          </w:tcPr>
          <w:p>
            <w:pPr>
              <w:pStyle w:val="38"/>
              <w:ind w:left="420" w:hanging="420"/>
              <w:jc w:val="center"/>
            </w:pPr>
            <w:r>
              <w:rPr>
                <w:rFonts w:hint="eastAsia"/>
              </w:rPr>
              <w:t>合计</w:t>
            </w:r>
          </w:p>
        </w:tc>
        <w:tc>
          <w:tcPr>
            <w:tcW w:w="2127" w:type="dxa"/>
            <w:tcBorders>
              <w:top w:val="nil"/>
              <w:left w:val="nil"/>
              <w:bottom w:val="single" w:color="auto" w:sz="4" w:space="0"/>
              <w:right w:val="single" w:color="auto" w:sz="4" w:space="0"/>
            </w:tcBorders>
            <w:noWrap/>
            <w:vAlign w:val="center"/>
          </w:tcPr>
          <w:p>
            <w:pPr>
              <w:pStyle w:val="38"/>
              <w:ind w:left="420" w:hanging="420"/>
              <w:jc w:val="center"/>
            </w:pPr>
            <w:r>
              <w:rPr>
                <w:rFonts w:hint="eastAsia"/>
              </w:rPr>
              <w:t>55</w:t>
            </w:r>
          </w:p>
        </w:tc>
      </w:tr>
    </w:tbl>
    <w:p>
      <w:pPr>
        <w:widowControl w:val="0"/>
        <w:spacing w:line="360" w:lineRule="auto"/>
        <w:ind w:firstLine="420" w:firstLineChars="200"/>
        <w:jc w:val="both"/>
        <w:rPr>
          <w:rFonts w:hint="eastAsia"/>
          <w:b/>
          <w:color w:val="C00000"/>
          <w:highlight w:val="none"/>
        </w:rPr>
      </w:pPr>
      <w:r>
        <w:rPr>
          <w:rFonts w:hint="eastAsia" w:ascii="宋体" w:hAnsi="宋体" w:eastAsia="宋体" w:cs="宋体"/>
          <w:color w:val="auto"/>
          <w:kern w:val="2"/>
          <w:sz w:val="21"/>
          <w:szCs w:val="21"/>
          <w:highlight w:val="none"/>
          <w:lang w:val="en-US" w:eastAsia="zh-CN" w:bidi="ar-SA"/>
        </w:rPr>
        <w:t>3、该项目主要是对柳州市工人医院-总院中型箱式物流传输系统进行维护保养及设备评估和配件更换（只含人工，配件按招标单价及实际工作量付费），确保系统正常运行。</w:t>
      </w:r>
    </w:p>
    <w:p>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投标人的资格要求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val="en-US" w:eastAsia="zh-CN"/>
        </w:rPr>
        <w:t>2</w:t>
      </w:r>
      <w:r>
        <w:rPr>
          <w:rFonts w:hint="eastAsia" w:asciiTheme="minorEastAsia" w:hAnsiTheme="minorEastAsia" w:eastAsiaTheme="minorEastAsia"/>
          <w:snapToGrid w:val="0"/>
          <w:color w:val="auto"/>
          <w:sz w:val="21"/>
        </w:rPr>
        <w:t>、本项目的特定资格要求：</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为投标人信用信息查询渠道，相关信息以开标当日的查询结果为准。由招标代理机构查询，投标人无需提供证明材料）；</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rPr>
        <w:t>）本项目不接受联合体投标，不允许分包或转包。</w:t>
      </w:r>
    </w:p>
    <w:p>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特别说明</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1、本章项目需求中所出现的工艺、材料、设备或参照的品牌等仅为方便描述而没有限制性，投标人可以在其提供的文件资料中选用替代标准，但这些替代标准要优于或相当于技术规格中要求的标准。</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投标人提供证书或检测报告等证明材料的，颁发证书、出具报告的机构须是合法设立的机构，且具有颁发相应证书或者出具相应报告的资质。</w:t>
      </w:r>
    </w:p>
    <w:p>
      <w:pPr>
        <w:pStyle w:val="322"/>
        <w:ind w:firstLine="0" w:firstLineChars="0"/>
        <w:rPr>
          <w:b/>
        </w:rPr>
      </w:pPr>
    </w:p>
    <w:p>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维护维修内容：</w:t>
      </w:r>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9"/>
        <w:gridCol w:w="4667"/>
        <w:gridCol w:w="162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829" w:type="dxa"/>
            <w:vAlign w:val="center"/>
          </w:tcPr>
          <w:p>
            <w:pPr>
              <w:spacing w:line="360" w:lineRule="auto"/>
              <w:rPr>
                <w:rFonts w:ascii="宋体" w:hAnsi="宋体" w:cs="宋体"/>
                <w:szCs w:val="21"/>
              </w:rPr>
            </w:pPr>
            <w:r>
              <w:rPr>
                <w:rFonts w:hint="eastAsia" w:ascii="宋体" w:hAnsi="宋体" w:cs="宋体"/>
                <w:szCs w:val="21"/>
              </w:rPr>
              <w:t>设备</w:t>
            </w:r>
          </w:p>
        </w:tc>
        <w:tc>
          <w:tcPr>
            <w:tcW w:w="4667" w:type="dxa"/>
            <w:vAlign w:val="center"/>
          </w:tcPr>
          <w:p>
            <w:pPr>
              <w:spacing w:line="360" w:lineRule="auto"/>
              <w:rPr>
                <w:rFonts w:ascii="宋体" w:hAnsi="宋体" w:cs="宋体"/>
                <w:szCs w:val="21"/>
              </w:rPr>
            </w:pPr>
            <w:r>
              <w:rPr>
                <w:rFonts w:hint="eastAsia" w:ascii="宋体" w:hAnsi="宋体" w:cs="宋体"/>
                <w:szCs w:val="21"/>
              </w:rPr>
              <w:t>维保内容</w:t>
            </w:r>
          </w:p>
        </w:tc>
        <w:tc>
          <w:tcPr>
            <w:tcW w:w="1626" w:type="dxa"/>
            <w:vAlign w:val="center"/>
          </w:tcPr>
          <w:p>
            <w:pPr>
              <w:spacing w:line="360" w:lineRule="auto"/>
              <w:rPr>
                <w:rFonts w:ascii="宋体" w:hAnsi="宋体" w:cs="宋体"/>
                <w:szCs w:val="21"/>
              </w:rPr>
            </w:pPr>
            <w:r>
              <w:rPr>
                <w:rFonts w:hint="eastAsia" w:ascii="宋体" w:hAnsi="宋体" w:cs="宋体"/>
                <w:szCs w:val="21"/>
              </w:rPr>
              <w:t>检期</w:t>
            </w:r>
          </w:p>
        </w:tc>
        <w:tc>
          <w:tcPr>
            <w:tcW w:w="1840" w:type="dxa"/>
            <w:vAlign w:val="center"/>
          </w:tcPr>
          <w:p>
            <w:pPr>
              <w:spacing w:line="360" w:lineRule="auto"/>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1、电机</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减速器和电机组件检查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点机是否有噪音或震动，过热，足够的输出功率</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检测的电机轴是否清洁无障碍物</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2、旋转台</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旋转机构检查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密封圈、引导管线和后轴承检查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出口校准</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3、水平传输线</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PU带检查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传动轴承检查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PU带跑偏校准</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4、输送箱</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noWrap/>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防震检查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RFID芯片松动检查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变形检查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密封性检查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5、站点</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noWrap/>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模组带检查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控制面板检查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restart"/>
            <w:vAlign w:val="center"/>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6、往复式提升机</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提升链条检查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电机检查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链条润滑检查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restart"/>
            <w:vAlign w:val="center"/>
          </w:tcPr>
          <w:p>
            <w:pPr>
              <w:spacing w:line="360" w:lineRule="auto"/>
              <w:rPr>
                <w:rFonts w:ascii="宋体" w:hAnsi="宋体" w:cs="宋体"/>
                <w:szCs w:val="21"/>
              </w:rPr>
            </w:pPr>
            <w:r>
              <w:rPr>
                <w:rFonts w:hint="eastAsia" w:ascii="宋体" w:hAnsi="宋体" w:cs="宋体"/>
                <w:szCs w:val="21"/>
              </w:rPr>
              <w:t>7、曳引式提升机</w:t>
            </w:r>
          </w:p>
        </w:tc>
        <w:tc>
          <w:tcPr>
            <w:tcW w:w="4667" w:type="dxa"/>
            <w:vAlign w:val="center"/>
          </w:tcPr>
          <w:p>
            <w:pPr>
              <w:spacing w:line="360" w:lineRule="auto"/>
              <w:rPr>
                <w:rFonts w:ascii="宋体" w:hAnsi="宋体" w:cs="宋体"/>
                <w:szCs w:val="21"/>
              </w:rPr>
            </w:pPr>
            <w:r>
              <w:rPr>
                <w:rFonts w:hint="eastAsia" w:ascii="宋体" w:hAnsi="宋体" w:cs="宋体"/>
                <w:szCs w:val="21"/>
              </w:rPr>
              <w:t>外观检查</w:t>
            </w:r>
          </w:p>
        </w:tc>
        <w:tc>
          <w:tcPr>
            <w:tcW w:w="1626" w:type="dxa"/>
            <w:vMerge w:val="restart"/>
            <w:vAlign w:val="center"/>
          </w:tcPr>
          <w:p>
            <w:pPr>
              <w:spacing w:line="360" w:lineRule="auto"/>
              <w:rPr>
                <w:rFonts w:ascii="宋体" w:hAnsi="宋体" w:cs="宋体"/>
                <w:szCs w:val="21"/>
              </w:rPr>
            </w:pPr>
            <w:r>
              <w:rPr>
                <w:rFonts w:hint="eastAsia" w:ascii="宋体" w:hAnsi="宋体" w:cs="宋体"/>
                <w:szCs w:val="21"/>
              </w:rPr>
              <w:t>季检</w:t>
            </w:r>
          </w:p>
        </w:tc>
        <w:tc>
          <w:tcPr>
            <w:tcW w:w="1840" w:type="dxa"/>
            <w:vMerge w:val="restart"/>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主体表面除尘</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联接螺丝检查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提升钢丝绳检查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控制器和指示灯是否工作正常</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传感器检查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曳引机检查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钢丝绳润滑检查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噪音检查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机房检查</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spacing w:line="360" w:lineRule="auto"/>
              <w:rPr>
                <w:rFonts w:ascii="宋体" w:hAnsi="宋体" w:cs="宋体"/>
                <w:szCs w:val="21"/>
              </w:rPr>
            </w:pPr>
          </w:p>
        </w:tc>
        <w:tc>
          <w:tcPr>
            <w:tcW w:w="4667" w:type="dxa"/>
            <w:vAlign w:val="center"/>
          </w:tcPr>
          <w:p>
            <w:pPr>
              <w:spacing w:line="360" w:lineRule="auto"/>
              <w:rPr>
                <w:rFonts w:ascii="宋体" w:hAnsi="宋体" w:cs="宋体"/>
                <w:szCs w:val="21"/>
              </w:rPr>
            </w:pPr>
            <w:r>
              <w:rPr>
                <w:rFonts w:hint="eastAsia" w:ascii="宋体" w:hAnsi="宋体" w:cs="宋体"/>
                <w:szCs w:val="21"/>
              </w:rPr>
              <w:t>故障处理（包括更换损坏件）</w:t>
            </w:r>
          </w:p>
        </w:tc>
        <w:tc>
          <w:tcPr>
            <w:tcW w:w="1626" w:type="dxa"/>
            <w:vMerge w:val="continue"/>
            <w:vAlign w:val="center"/>
          </w:tcPr>
          <w:p>
            <w:pPr>
              <w:spacing w:line="360" w:lineRule="auto"/>
              <w:rPr>
                <w:rFonts w:ascii="宋体" w:hAnsi="宋体" w:cs="宋体"/>
                <w:szCs w:val="21"/>
              </w:rPr>
            </w:pPr>
          </w:p>
        </w:tc>
        <w:tc>
          <w:tcPr>
            <w:tcW w:w="1840" w:type="dxa"/>
            <w:vMerge w:val="continue"/>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restart"/>
            <w:vAlign w:val="center"/>
          </w:tcPr>
          <w:p>
            <w:pPr>
              <w:rPr>
                <w:rFonts w:ascii="宋体" w:hAnsi="宋体" w:cs="宋体"/>
                <w:color w:val="auto"/>
                <w:szCs w:val="21"/>
              </w:rPr>
            </w:pPr>
            <w:r>
              <w:rPr>
                <w:rFonts w:hint="eastAsia" w:ascii="宋体" w:hAnsi="宋体" w:cs="宋体"/>
                <w:color w:val="auto"/>
                <w:szCs w:val="21"/>
              </w:rPr>
              <w:t>8、控制系统</w:t>
            </w:r>
          </w:p>
        </w:tc>
        <w:tc>
          <w:tcPr>
            <w:tcW w:w="4667" w:type="dxa"/>
            <w:vAlign w:val="center"/>
          </w:tcPr>
          <w:p>
            <w:pPr>
              <w:rPr>
                <w:rFonts w:hint="eastAsia" w:ascii="宋体" w:hAnsi="宋体" w:cs="宋体"/>
                <w:color w:val="auto"/>
                <w:szCs w:val="21"/>
              </w:rPr>
            </w:pPr>
            <w:r>
              <w:rPr>
                <w:rFonts w:hint="eastAsia" w:ascii="宋体" w:hAnsi="宋体"/>
                <w:color w:val="auto"/>
                <w:szCs w:val="21"/>
              </w:rPr>
              <w:t>（1）物流</w:t>
            </w:r>
            <w:r>
              <w:rPr>
                <w:rFonts w:ascii="宋体" w:hAnsi="宋体"/>
                <w:color w:val="auto"/>
                <w:szCs w:val="21"/>
              </w:rPr>
              <w:t>SCADA(数据采集和监视控制系统</w:t>
            </w:r>
            <w:r>
              <w:rPr>
                <w:rFonts w:hint="eastAsia" w:ascii="宋体" w:hAnsi="宋体"/>
                <w:color w:val="auto"/>
                <w:szCs w:val="21"/>
              </w:rPr>
              <w:t>)监控及异常问题处理</w:t>
            </w:r>
          </w:p>
        </w:tc>
        <w:tc>
          <w:tcPr>
            <w:tcW w:w="1626" w:type="dxa"/>
            <w:vAlign w:val="center"/>
          </w:tcPr>
          <w:p>
            <w:pPr>
              <w:rPr>
                <w:rFonts w:ascii="宋体" w:hAnsi="宋体" w:cs="宋体"/>
                <w:color w:val="auto"/>
                <w:szCs w:val="21"/>
              </w:rPr>
            </w:pPr>
            <w:r>
              <w:rPr>
                <w:rFonts w:hint="eastAsia" w:ascii="宋体" w:hAnsi="宋体"/>
                <w:color w:val="auto"/>
                <w:szCs w:val="21"/>
              </w:rPr>
              <w:t>24</w:t>
            </w:r>
            <w:r>
              <w:rPr>
                <w:rFonts w:ascii="宋体" w:hAnsi="宋体"/>
                <w:color w:val="auto"/>
                <w:szCs w:val="21"/>
              </w:rPr>
              <w:t>H</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（2）站点工作站及控制柜的控制面板、按键是否灵敏可靠</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hint="eastAsia" w:ascii="宋体" w:hAnsi="宋体"/>
                <w:color w:val="auto"/>
                <w:szCs w:val="21"/>
              </w:rPr>
            </w:pPr>
            <w:r>
              <w:rPr>
                <w:rFonts w:hint="eastAsia" w:ascii="宋体" w:hAnsi="宋体"/>
                <w:color w:val="auto"/>
                <w:szCs w:val="21"/>
              </w:rPr>
              <w:t>（3）层面交换站是否灵敏等情况，转换节点是否需要润滑；</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（4）检查光电开关安装是否紧固，清除光电开关及反射镜面的污物。</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（5）检查紧急停止回路动作是否可靠。</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（6）检查激光测距仪安装是否紧固，清除激光测距仪及反射镜面的污物。</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（7）检查旋转台旋转电机及输送电机动作是否可靠，旋向及输送分向是否正常。</w:t>
            </w:r>
          </w:p>
        </w:tc>
        <w:tc>
          <w:tcPr>
            <w:tcW w:w="1626" w:type="dxa"/>
            <w:vAlign w:val="center"/>
          </w:tcPr>
          <w:p>
            <w:pPr>
              <w:jc w:val="left"/>
              <w:rPr>
                <w:rFonts w:ascii="宋体" w:hAnsi="宋体"/>
                <w:color w:val="auto"/>
                <w:szCs w:val="21"/>
              </w:rPr>
            </w:pPr>
            <w:r>
              <w:rPr>
                <w:rFonts w:hint="eastAsia" w:ascii="宋体" w:hAnsi="宋体"/>
                <w:color w:val="auto"/>
                <w:szCs w:val="21"/>
              </w:rPr>
              <w:t>1次/周</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（8）动力系统降噪、供能是否稳定，各部件是否需要润滑。</w:t>
            </w:r>
          </w:p>
        </w:tc>
        <w:tc>
          <w:tcPr>
            <w:tcW w:w="1626" w:type="dxa"/>
            <w:vAlign w:val="center"/>
          </w:tcPr>
          <w:p>
            <w:pPr>
              <w:jc w:val="left"/>
              <w:rPr>
                <w:rFonts w:ascii="宋体" w:hAnsi="宋体"/>
                <w:color w:val="auto"/>
                <w:szCs w:val="21"/>
              </w:rPr>
            </w:pPr>
            <w:r>
              <w:rPr>
                <w:rFonts w:hint="eastAsia" w:ascii="宋体" w:hAnsi="宋体"/>
                <w:color w:val="auto"/>
                <w:szCs w:val="21"/>
              </w:rPr>
              <w:t>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（9）传输箱是否需要更换，箱体有无破损，</w:t>
            </w:r>
            <w:r>
              <w:rPr>
                <w:rFonts w:ascii="宋体" w:hAnsi="宋体"/>
                <w:color w:val="auto"/>
                <w:szCs w:val="21"/>
              </w:rPr>
              <w:t>RFID</w:t>
            </w:r>
            <w:r>
              <w:rPr>
                <w:rFonts w:hint="eastAsia" w:ascii="宋体" w:hAnsi="宋体"/>
                <w:color w:val="auto"/>
                <w:szCs w:val="21"/>
              </w:rPr>
              <w:t>芯片是否安装紧固。</w:t>
            </w:r>
          </w:p>
        </w:tc>
        <w:tc>
          <w:tcPr>
            <w:tcW w:w="1626" w:type="dxa"/>
            <w:vAlign w:val="center"/>
          </w:tcPr>
          <w:p>
            <w:pPr>
              <w:jc w:val="left"/>
              <w:rPr>
                <w:rFonts w:ascii="宋体" w:hAnsi="宋体"/>
                <w:color w:val="auto"/>
                <w:szCs w:val="21"/>
              </w:rPr>
            </w:pPr>
            <w:r>
              <w:rPr>
                <w:rFonts w:hint="eastAsia" w:ascii="宋体" w:hAnsi="宋体"/>
                <w:color w:val="auto"/>
                <w:szCs w:val="21"/>
              </w:rPr>
              <w:t>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（10）电机插接件是否松动，机械结构安装是否紧固，电缆有无破损，必要时更换。</w:t>
            </w:r>
          </w:p>
        </w:tc>
        <w:tc>
          <w:tcPr>
            <w:tcW w:w="1626" w:type="dxa"/>
            <w:vAlign w:val="center"/>
          </w:tcPr>
          <w:p>
            <w:pPr>
              <w:jc w:val="left"/>
              <w:rPr>
                <w:rFonts w:ascii="宋体" w:hAnsi="宋体"/>
                <w:color w:val="auto"/>
                <w:szCs w:val="21"/>
              </w:rPr>
            </w:pPr>
            <w:r>
              <w:rPr>
                <w:rFonts w:hint="eastAsia" w:ascii="宋体" w:hAnsi="宋体"/>
                <w:color w:val="auto"/>
                <w:szCs w:val="21"/>
              </w:rPr>
              <w:t>首次紧固后，1次/月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（11）紧固控制柜、操作盒内元器件和接线端子上的接线螺钉。</w:t>
            </w:r>
          </w:p>
        </w:tc>
        <w:tc>
          <w:tcPr>
            <w:tcW w:w="1626" w:type="dxa"/>
            <w:vAlign w:val="center"/>
          </w:tcPr>
          <w:p>
            <w:pPr>
              <w:jc w:val="left"/>
              <w:rPr>
                <w:rFonts w:ascii="宋体" w:hAnsi="宋体"/>
                <w:color w:val="auto"/>
                <w:szCs w:val="21"/>
              </w:rPr>
            </w:pPr>
            <w:r>
              <w:rPr>
                <w:rFonts w:hint="eastAsia" w:ascii="宋体" w:hAnsi="宋体"/>
                <w:color w:val="auto"/>
                <w:szCs w:val="21"/>
              </w:rPr>
              <w:t>首次紧固后，1次/月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（12）控制中心的硬件运行情况等；</w:t>
            </w:r>
          </w:p>
        </w:tc>
        <w:tc>
          <w:tcPr>
            <w:tcW w:w="1626" w:type="dxa"/>
            <w:vAlign w:val="center"/>
          </w:tcPr>
          <w:p>
            <w:pPr>
              <w:jc w:val="left"/>
              <w:rPr>
                <w:rFonts w:ascii="宋体" w:hAnsi="宋体"/>
                <w:color w:val="auto"/>
                <w:szCs w:val="21"/>
              </w:rPr>
            </w:pPr>
            <w:r>
              <w:rPr>
                <w:rFonts w:hint="eastAsia" w:ascii="宋体" w:hAnsi="宋体"/>
                <w:color w:val="auto"/>
                <w:szCs w:val="21"/>
              </w:rPr>
              <w:t>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（13）电机及机架外壳的接地线是否良好可靠。</w:t>
            </w:r>
          </w:p>
        </w:tc>
        <w:tc>
          <w:tcPr>
            <w:tcW w:w="1626" w:type="dxa"/>
            <w:vAlign w:val="center"/>
          </w:tcPr>
          <w:p>
            <w:pPr>
              <w:jc w:val="left"/>
              <w:rPr>
                <w:rFonts w:ascii="宋体" w:hAnsi="宋体"/>
                <w:color w:val="auto"/>
                <w:szCs w:val="21"/>
              </w:rPr>
            </w:pPr>
            <w:r>
              <w:rPr>
                <w:rFonts w:hint="eastAsia" w:ascii="宋体" w:hAnsi="宋体"/>
                <w:color w:val="auto"/>
                <w:szCs w:val="21"/>
              </w:rPr>
              <w:t>1次/月</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（14）测试电机的绝缘阻抗，三相绕组阻抗是否平衡。</w:t>
            </w:r>
          </w:p>
        </w:tc>
        <w:tc>
          <w:tcPr>
            <w:tcW w:w="1626" w:type="dxa"/>
            <w:vAlign w:val="center"/>
          </w:tcPr>
          <w:p>
            <w:pPr>
              <w:jc w:val="left"/>
              <w:rPr>
                <w:rFonts w:ascii="宋体" w:hAnsi="宋体"/>
                <w:color w:val="auto"/>
                <w:szCs w:val="21"/>
              </w:rPr>
            </w:pPr>
            <w:r>
              <w:rPr>
                <w:rFonts w:hint="eastAsia" w:ascii="宋体" w:hAnsi="宋体"/>
                <w:color w:val="auto"/>
                <w:szCs w:val="21"/>
              </w:rPr>
              <w:t>1次/季度</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（15）清除控制柜、单机控制箱内的灰尘和异物，防止接触器接触不良。</w:t>
            </w:r>
          </w:p>
          <w:p>
            <w:pPr>
              <w:jc w:val="left"/>
              <w:rPr>
                <w:rFonts w:ascii="宋体" w:hAnsi="宋体"/>
                <w:color w:val="auto"/>
                <w:szCs w:val="21"/>
              </w:rPr>
            </w:pPr>
          </w:p>
        </w:tc>
        <w:tc>
          <w:tcPr>
            <w:tcW w:w="1626" w:type="dxa"/>
            <w:vAlign w:val="center"/>
          </w:tcPr>
          <w:p>
            <w:pPr>
              <w:jc w:val="left"/>
              <w:rPr>
                <w:rFonts w:ascii="宋体" w:hAnsi="宋体"/>
                <w:color w:val="auto"/>
                <w:szCs w:val="21"/>
              </w:rPr>
            </w:pPr>
            <w:r>
              <w:rPr>
                <w:rFonts w:hint="eastAsia" w:ascii="宋体" w:hAnsi="宋体"/>
                <w:color w:val="auto"/>
                <w:szCs w:val="21"/>
              </w:rPr>
              <w:t>1次/季度</w:t>
            </w:r>
          </w:p>
        </w:tc>
        <w:tc>
          <w:tcPr>
            <w:tcW w:w="1840" w:type="dxa"/>
            <w:vAlign w:val="center"/>
          </w:tcPr>
          <w:p>
            <w:pPr>
              <w:spacing w:line="360" w:lineRule="auto"/>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1829" w:type="dxa"/>
            <w:vMerge w:val="continue"/>
            <w:vAlign w:val="center"/>
          </w:tcPr>
          <w:p>
            <w:pPr>
              <w:rPr>
                <w:rFonts w:ascii="宋体" w:hAnsi="宋体" w:cs="宋体"/>
                <w:color w:val="auto"/>
                <w:szCs w:val="21"/>
              </w:rPr>
            </w:pPr>
          </w:p>
        </w:tc>
        <w:tc>
          <w:tcPr>
            <w:tcW w:w="4667" w:type="dxa"/>
          </w:tcPr>
          <w:p>
            <w:pPr>
              <w:jc w:val="left"/>
              <w:rPr>
                <w:rFonts w:ascii="宋体" w:hAnsi="宋体"/>
                <w:color w:val="auto"/>
                <w:szCs w:val="21"/>
              </w:rPr>
            </w:pPr>
            <w:r>
              <w:rPr>
                <w:rFonts w:hint="eastAsia" w:ascii="宋体" w:hAnsi="宋体"/>
                <w:color w:val="auto"/>
                <w:szCs w:val="21"/>
              </w:rPr>
              <w:t>（16）检查元器件（接触器继电器光电开关等）是否损坏，必要时更换。</w:t>
            </w:r>
          </w:p>
        </w:tc>
        <w:tc>
          <w:tcPr>
            <w:tcW w:w="1626" w:type="dxa"/>
            <w:vAlign w:val="center"/>
          </w:tcPr>
          <w:p>
            <w:pPr>
              <w:jc w:val="left"/>
              <w:rPr>
                <w:rFonts w:ascii="宋体" w:hAnsi="宋体"/>
                <w:color w:val="auto"/>
                <w:szCs w:val="21"/>
              </w:rPr>
            </w:pPr>
            <w:r>
              <w:rPr>
                <w:rFonts w:hint="eastAsia" w:ascii="宋体" w:hAnsi="宋体"/>
                <w:color w:val="auto"/>
                <w:szCs w:val="21"/>
              </w:rPr>
              <w:t>1次/季度</w:t>
            </w:r>
          </w:p>
        </w:tc>
        <w:tc>
          <w:tcPr>
            <w:tcW w:w="1840" w:type="dxa"/>
            <w:vAlign w:val="center"/>
          </w:tcPr>
          <w:p>
            <w:pPr>
              <w:spacing w:line="360" w:lineRule="auto"/>
              <w:rPr>
                <w:rFonts w:ascii="宋体" w:hAnsi="宋体" w:cs="宋体"/>
                <w:color w:val="auto"/>
                <w:szCs w:val="21"/>
              </w:rPr>
            </w:pPr>
          </w:p>
        </w:tc>
      </w:tr>
    </w:tbl>
    <w:p>
      <w:pPr>
        <w:pStyle w:val="507"/>
        <w:spacing w:after="62" w:line="360" w:lineRule="auto"/>
        <w:ind w:firstLine="422"/>
        <w:rPr>
          <w:rFonts w:cs="Times New Roman"/>
          <w:b/>
          <w:snapToGrid/>
          <w:color w:val="auto"/>
          <w:spacing w:val="0"/>
          <w:sz w:val="21"/>
          <w:szCs w:val="21"/>
        </w:rPr>
      </w:pPr>
      <w:r>
        <w:rPr>
          <w:rFonts w:hint="eastAsia" w:cs="Times New Roman"/>
          <w:b/>
          <w:snapToGrid/>
          <w:color w:val="auto"/>
          <w:spacing w:val="0"/>
          <w:sz w:val="21"/>
          <w:szCs w:val="21"/>
        </w:rPr>
        <w:t>备注：</w:t>
      </w:r>
    </w:p>
    <w:p>
      <w:pPr>
        <w:pStyle w:val="507"/>
        <w:wordWrap/>
        <w:spacing w:afterLines="0" w:line="360" w:lineRule="auto"/>
        <w:ind w:firstLine="420"/>
        <w:rPr>
          <w:rFonts w:hint="eastAsia"/>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投标报价包含200元以内的办公用品（如胶水，纸张，不干胶等）及单次单项维修材料及配件更换费用；200元以上材料及配件需按中标配件价格，经采购人同意后进行维修更换，不得另外收取人工费。配件的更换费用</w:t>
      </w:r>
      <w:r>
        <w:rPr>
          <w:rFonts w:hint="eastAsia"/>
          <w:snapToGrid/>
          <w:color w:val="000000" w:themeColor="text1"/>
          <w:spacing w:val="0"/>
          <w:sz w:val="21"/>
          <w:szCs w:val="21"/>
          <w:lang w:eastAsia="zh-CN"/>
          <w14:textFill>
            <w14:solidFill>
              <w14:schemeClr w14:val="tx1"/>
            </w14:solidFill>
          </w14:textFill>
        </w:rPr>
        <w:t>。</w:t>
      </w:r>
    </w:p>
    <w:p>
      <w:pPr>
        <w:pStyle w:val="507"/>
        <w:wordWrap/>
        <w:spacing w:afterLines="0" w:line="360" w:lineRule="auto"/>
        <w:ind w:firstLine="420"/>
        <w:rPr>
          <w:rFonts w:hint="eastAsia"/>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2、投标报价仅限于现有系统41站点的整体维护运营，任何系统的更改和增加不属于该项招标范围，如有系统更改由双方协商相应的费用。</w:t>
      </w:r>
    </w:p>
    <w:p>
      <w:pPr>
        <w:pStyle w:val="322"/>
        <w:numPr>
          <w:ilvl w:val="0"/>
          <w:numId w:val="4"/>
        </w:numPr>
        <w:ind w:firstLine="482" w:firstLineChars="200"/>
        <w:rPr>
          <w:rFonts w:hint="eastAsia" w:cs="Times New Roman"/>
          <w:b/>
          <w:color w:val="auto"/>
          <w:lang w:eastAsia="zh-CN"/>
        </w:rPr>
      </w:pPr>
      <w:r>
        <w:rPr>
          <w:rFonts w:hint="eastAsia" w:cs="Times New Roman"/>
          <w:b/>
          <w:color w:val="auto"/>
          <w:lang w:eastAsia="zh-CN"/>
        </w:rPr>
        <w:t>项目服务要求</w:t>
      </w:r>
    </w:p>
    <w:p>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14:textFill>
            <w14:solidFill>
              <w14:schemeClr w14:val="tx1"/>
            </w14:solidFill>
          </w14:textFill>
        </w:rPr>
        <w:t>（一）技术服务要求</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1、</w:t>
      </w:r>
      <w:r>
        <w:rPr>
          <w:rFonts w:hint="eastAsia"/>
          <w:snapToGrid/>
          <w:color w:val="000000" w:themeColor="text1"/>
          <w:spacing w:val="0"/>
          <w:sz w:val="21"/>
          <w:szCs w:val="21"/>
          <w14:textFill>
            <w14:solidFill>
              <w14:schemeClr w14:val="tx1"/>
            </w14:solidFill>
          </w14:textFill>
        </w:rPr>
        <w:t>维保单位派驻两名维保人员驻点，进行系统设备进行日常运行、维护保养和维修服务</w:t>
      </w:r>
      <w:r>
        <w:rPr>
          <w:rFonts w:hint="eastAsia"/>
          <w:snapToGrid/>
          <w:color w:val="000000" w:themeColor="text1"/>
          <w:spacing w:val="0"/>
          <w:sz w:val="21"/>
          <w:szCs w:val="21"/>
          <w:lang w:val="en-US" w:eastAsia="zh-CN"/>
          <w14:textFill>
            <w14:solidFill>
              <w14:schemeClr w14:val="tx1"/>
            </w14:solidFill>
          </w14:textFill>
        </w:rPr>
        <w:t>。</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2、</w:t>
      </w:r>
      <w:r>
        <w:rPr>
          <w:rFonts w:hint="eastAsia"/>
          <w:snapToGrid/>
          <w:color w:val="000000" w:themeColor="text1"/>
          <w:spacing w:val="0"/>
          <w:sz w:val="21"/>
          <w:szCs w:val="21"/>
          <w14:textFill>
            <w14:solidFill>
              <w14:schemeClr w14:val="tx1"/>
            </w14:solidFill>
          </w14:textFill>
        </w:rPr>
        <w:t>维保单位需建立动静态档案管理系统，包括管理制度、操作手册、系统分部图、零配件出入库登记表及使用记录、各项数据检测记录表、设备设施维修记录等。</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w:t>
      </w:r>
      <w:r>
        <w:rPr>
          <w:rFonts w:hint="eastAsia"/>
          <w:snapToGrid/>
          <w:color w:val="000000" w:themeColor="text1"/>
          <w:spacing w:val="0"/>
          <w:sz w:val="21"/>
          <w:szCs w:val="21"/>
          <w14:textFill>
            <w14:solidFill>
              <w14:schemeClr w14:val="tx1"/>
            </w14:solidFill>
          </w14:textFill>
        </w:rPr>
        <w:t>每月需对系统的运行情况进行统计分析，提出整改意见，确保物流系统运行良好。</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3.1</w:t>
      </w:r>
      <w:r>
        <w:rPr>
          <w:rFonts w:hint="eastAsia"/>
          <w:snapToGrid/>
          <w:color w:val="000000" w:themeColor="text1"/>
          <w:spacing w:val="0"/>
          <w:sz w:val="21"/>
          <w:szCs w:val="21"/>
          <w14:textFill>
            <w14:solidFill>
              <w14:schemeClr w14:val="tx1"/>
            </w14:solidFill>
          </w14:textFill>
        </w:rPr>
        <w:t>维保人员要求：维保单位需派常</w:t>
      </w:r>
      <w:r>
        <w:rPr>
          <w:rFonts w:hint="eastAsia"/>
          <w:b/>
          <w:bCs/>
          <w:snapToGrid/>
          <w:color w:val="000000" w:themeColor="text1"/>
          <w:spacing w:val="0"/>
          <w:sz w:val="21"/>
          <w:szCs w:val="21"/>
          <w:u w:val="single"/>
          <w14:textFill>
            <w14:solidFill>
              <w14:schemeClr w14:val="tx1"/>
            </w14:solidFill>
          </w14:textFill>
        </w:rPr>
        <w:t>驻两名维保人员</w:t>
      </w:r>
      <w:r>
        <w:rPr>
          <w:rFonts w:hint="eastAsia"/>
          <w:snapToGrid/>
          <w:color w:val="000000" w:themeColor="text1"/>
          <w:spacing w:val="0"/>
          <w:sz w:val="21"/>
          <w:szCs w:val="21"/>
          <w14:textFill>
            <w14:solidFill>
              <w14:schemeClr w14:val="tx1"/>
            </w14:solidFill>
          </w14:textFill>
        </w:rPr>
        <w:t>，准备投入此项目的维保人员持有院内使用的物流系统厂家的售后工程师培训证书。需要提供24小时的响应服务</w:t>
      </w:r>
      <w:r>
        <w:rPr>
          <w:rFonts w:hint="eastAsia"/>
          <w:b/>
          <w:bCs/>
          <w:snapToGrid/>
          <w:color w:val="auto"/>
          <w:spacing w:val="0"/>
          <w:sz w:val="21"/>
          <w:szCs w:val="21"/>
          <w:u w:val="single"/>
        </w:rPr>
        <w:t>,全年365天</w:t>
      </w:r>
      <w:r>
        <w:rPr>
          <w:rFonts w:hint="eastAsia"/>
          <w:b/>
          <w:bCs/>
          <w:snapToGrid/>
          <w:color w:val="auto"/>
          <w:spacing w:val="0"/>
          <w:sz w:val="21"/>
          <w:szCs w:val="21"/>
          <w:u w:val="single"/>
          <w:lang w:eastAsia="zh-CN"/>
        </w:rPr>
        <w:t>每天均有人上班，上班时间：</w:t>
      </w:r>
      <w:r>
        <w:rPr>
          <w:rFonts w:hint="eastAsia"/>
          <w:b/>
          <w:bCs/>
          <w:snapToGrid/>
          <w:color w:val="auto"/>
          <w:spacing w:val="0"/>
          <w:sz w:val="21"/>
          <w:szCs w:val="21"/>
          <w:u w:val="single"/>
          <w:lang w:val="en-US" w:eastAsia="zh-CN"/>
        </w:rPr>
        <w:t>7:00--19:00</w:t>
      </w:r>
      <w:r>
        <w:rPr>
          <w:rFonts w:hint="eastAsia"/>
          <w:b/>
          <w:bCs/>
          <w:snapToGrid/>
          <w:color w:val="auto"/>
          <w:spacing w:val="0"/>
          <w:sz w:val="21"/>
          <w:szCs w:val="21"/>
          <w:u w:val="single"/>
        </w:rPr>
        <w:t>。</w:t>
      </w:r>
      <w:r>
        <w:rPr>
          <w:rFonts w:hint="eastAsia"/>
          <w:snapToGrid/>
          <w:color w:val="000000" w:themeColor="text1"/>
          <w:spacing w:val="0"/>
          <w:sz w:val="21"/>
          <w:szCs w:val="21"/>
          <w14:textFill>
            <w14:solidFill>
              <w14:schemeClr w14:val="tx1"/>
            </w14:solidFill>
          </w14:textFill>
        </w:rPr>
        <w:t>定期对设备和物流机房进行巡检、运行记录、传输箱的查找以及应急抢修。</w:t>
      </w:r>
    </w:p>
    <w:p>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snapToGrid/>
          <w:color w:val="000000" w:themeColor="text1"/>
          <w:spacing w:val="0"/>
          <w:sz w:val="21"/>
          <w:szCs w:val="21"/>
          <w14:textFill>
            <w14:solidFill>
              <w14:schemeClr w14:val="tx1"/>
            </w14:solidFill>
          </w14:textFill>
        </w:rPr>
        <w:t>3.2</w:t>
      </w:r>
      <w:r>
        <w:rPr>
          <w:rFonts w:hint="eastAsia"/>
          <w:snapToGrid/>
          <w:color w:val="000000" w:themeColor="text1"/>
          <w:spacing w:val="0"/>
          <w:sz w:val="21"/>
          <w:szCs w:val="21"/>
          <w14:textFill>
            <w14:solidFill>
              <w14:schemeClr w14:val="tx1"/>
            </w14:solidFill>
          </w14:textFill>
        </w:rPr>
        <w:t>服务资料要求：提供平面布置图、系统图、站点内部接线图、控制系统说明书等技术资料；</w:t>
      </w:r>
    </w:p>
    <w:p>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14:textFill>
            <w14:solidFill>
              <w14:schemeClr w14:val="tx1"/>
            </w14:solidFill>
          </w14:textFill>
        </w:rPr>
        <w:t>（二）维保服务要求</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1、定期每季对站点、配套器具的使用及运行进行检查、维护；</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2、每季度对水平传输线、旋转台、往复式提升机、曳引式提升机等运行情况进行检查、维护；</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3、对检查发现的问题及缺陷进行维修，对各部件，如感应器、链条、密封圈、轴承、输送箱、电机、线路板、光电等进行检查、维护保养；</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4、在系统的维护及检查过程中，书面列出定期需要更换的部件；</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5、通过远程网络技术对系统进行监控，如故障在现场不能及时解决的情况下，快速通过远程实现技术支持，保证及时快速响应及解决设备问题；</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6、如有新设备启用，对原有软件及设备程序进行系统升级、对接；</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7、需清理设备内的灰尘、机房灰尘，对设备进行清洁；</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8、系统是否按照最优方案运行，等待时间比例，各部门使用比例等；</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9、工作站的控制面板、按键是否灵敏；</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10、工作站发送箱及接收站通讯是否稳定，工作站进出口门是否完好、感应器是否灵敏等；</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11、旋转台是否灵敏、有无堵塞、刮碰传输箱等情况，转换轴承是否需润滑；</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12、电机降噪、输出扭矩是否稳定，各部件是否需润滑，电机机每月巡查每季度维护；</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13、输送箱盖子、RIFD芯片和锁扣是否需更换，输送箱有无破损；</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14、控制中心的硬件运行情况，定期数据备份以及电脑清理等；</w:t>
      </w:r>
    </w:p>
    <w:p>
      <w:pPr>
        <w:pStyle w:val="507"/>
        <w:wordWrap/>
        <w:spacing w:afterLines="0"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15、控制线有无破损等；</w:t>
      </w:r>
    </w:p>
    <w:p>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16、更换部件时进行设备内部清洁和测试，更换完毕后要进行恢复测试，正常方可恢复使用。</w:t>
      </w:r>
    </w:p>
    <w:p>
      <w:pPr>
        <w:pStyle w:val="507"/>
        <w:wordWrap/>
        <w:spacing w:afterLines="0" w:line="360" w:lineRule="auto"/>
        <w:ind w:firstLine="420"/>
        <w:rPr>
          <w:rFonts w:hint="eastAsia" w:cs="Times New Roman"/>
          <w:snapToGrid/>
          <w:color w:val="000000" w:themeColor="text1"/>
          <w:spacing w:val="0"/>
          <w:sz w:val="21"/>
          <w:szCs w:val="21"/>
          <w14:textFill>
            <w14:solidFill>
              <w14:schemeClr w14:val="tx1"/>
            </w14:solidFill>
          </w14:textFill>
        </w:rPr>
      </w:pPr>
      <w:r>
        <w:rPr>
          <w:rFonts w:hint="eastAsia" w:cs="Times New Roman"/>
          <w:snapToGrid/>
          <w:color w:val="000000" w:themeColor="text1"/>
          <w:spacing w:val="0"/>
          <w:sz w:val="21"/>
          <w:szCs w:val="21"/>
          <w:lang w:eastAsia="zh-CN"/>
          <w14:textFill>
            <w14:solidFill>
              <w14:schemeClr w14:val="tx1"/>
            </w14:solidFill>
          </w14:textFill>
        </w:rPr>
        <w:t>（三）</w:t>
      </w:r>
      <w:r>
        <w:rPr>
          <w:rFonts w:hint="eastAsia" w:cs="Times New Roman"/>
          <w:snapToGrid/>
          <w:color w:val="000000" w:themeColor="text1"/>
          <w:spacing w:val="0"/>
          <w:sz w:val="21"/>
          <w:szCs w:val="21"/>
          <w14:textFill>
            <w14:solidFill>
              <w14:schemeClr w14:val="tx1"/>
            </w14:solidFill>
          </w14:textFill>
        </w:rPr>
        <w:t>人员配置要求</w:t>
      </w:r>
    </w:p>
    <w:p>
      <w:pPr>
        <w:pStyle w:val="507"/>
        <w:spacing w:after="62" w:line="360" w:lineRule="auto"/>
        <w:ind w:firstLine="420"/>
        <w:rPr>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1、驻点维保人员：</w:t>
      </w:r>
      <w:r>
        <w:rPr>
          <w:rFonts w:hint="eastAsia"/>
          <w:b/>
          <w:bCs/>
          <w:snapToGrid/>
          <w:color w:val="000000" w:themeColor="text1"/>
          <w:spacing w:val="0"/>
          <w:sz w:val="21"/>
          <w:szCs w:val="21"/>
          <w:u w:val="single"/>
          <w14:textFill>
            <w14:solidFill>
              <w14:schemeClr w14:val="tx1"/>
            </w14:solidFill>
          </w14:textFill>
        </w:rPr>
        <w:t>维保单位需派常驻专职维修人员</w:t>
      </w:r>
      <w:r>
        <w:rPr>
          <w:b/>
          <w:bCs/>
          <w:snapToGrid/>
          <w:color w:val="000000" w:themeColor="text1"/>
          <w:spacing w:val="0"/>
          <w:sz w:val="21"/>
          <w:szCs w:val="21"/>
          <w:u w:val="single"/>
          <w14:textFill>
            <w14:solidFill>
              <w14:schemeClr w14:val="tx1"/>
            </w14:solidFill>
          </w14:textFill>
        </w:rPr>
        <w:t>2</w:t>
      </w:r>
      <w:r>
        <w:rPr>
          <w:rFonts w:hint="eastAsia"/>
          <w:b/>
          <w:bCs/>
          <w:snapToGrid/>
          <w:color w:val="000000" w:themeColor="text1"/>
          <w:spacing w:val="0"/>
          <w:sz w:val="21"/>
          <w:szCs w:val="21"/>
          <w:u w:val="single"/>
          <w14:textFill>
            <w14:solidFill>
              <w14:schemeClr w14:val="tx1"/>
            </w14:solidFill>
          </w14:textFill>
        </w:rPr>
        <w:t>人。</w:t>
      </w:r>
    </w:p>
    <w:p>
      <w:pPr>
        <w:pStyle w:val="507"/>
        <w:wordWrap/>
        <w:spacing w:afterLines="0" w:line="360" w:lineRule="auto"/>
        <w:ind w:firstLine="420"/>
        <w:rPr>
          <w:rFonts w:cs="Times New Roman"/>
          <w:snapToGrid/>
          <w:color w:val="000000" w:themeColor="text1"/>
          <w:spacing w:val="0"/>
          <w:sz w:val="21"/>
          <w:szCs w:val="21"/>
          <w14:textFill>
            <w14:solidFill>
              <w14:schemeClr w14:val="tx1"/>
            </w14:solidFill>
          </w14:textFill>
        </w:rPr>
      </w:pPr>
      <w:r>
        <w:rPr>
          <w:rFonts w:hint="eastAsia"/>
          <w:snapToGrid/>
          <w:color w:val="000000" w:themeColor="text1"/>
          <w:spacing w:val="0"/>
          <w:sz w:val="21"/>
          <w:szCs w:val="21"/>
          <w14:textFill>
            <w14:solidFill>
              <w14:schemeClr w14:val="tx1"/>
            </w14:solidFill>
          </w14:textFill>
        </w:rPr>
        <w:t>2、维保人员要求：拟派本项目人员要求具有1年及以上工作经验（提供中型箱式物流系统厂家的售后维保培训证书及工作经验证明文件）。</w:t>
      </w:r>
    </w:p>
    <w:p>
      <w:pPr>
        <w:pStyle w:val="322"/>
        <w:numPr>
          <w:ilvl w:val="0"/>
          <w:numId w:val="4"/>
        </w:numPr>
        <w:ind w:firstLine="482" w:firstLineChars="200"/>
        <w:rPr>
          <w:rFonts w:cs="Times New Roman"/>
          <w:snapToGrid/>
          <w:color w:val="auto"/>
          <w:spacing w:val="0"/>
          <w:sz w:val="21"/>
          <w:szCs w:val="21"/>
        </w:rPr>
      </w:pPr>
      <w:r>
        <w:rPr>
          <w:rFonts w:hint="eastAsia" w:cs="Times New Roman"/>
          <w:b/>
          <w:color w:val="auto"/>
          <w:lang w:val="en-US" w:eastAsia="zh-CN"/>
        </w:rPr>
        <w:t>服务质量及</w:t>
      </w:r>
      <w:r>
        <w:rPr>
          <w:rFonts w:hint="eastAsia" w:cs="Times New Roman"/>
          <w:b/>
          <w:color w:val="auto"/>
          <w:lang w:eastAsia="zh-CN"/>
        </w:rPr>
        <w:t>其他要求</w:t>
      </w:r>
    </w:p>
    <w:p>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维保期间，如设备因非投标方原因造成损伤、意外破坏、遗失，投标方不承担免费维修或更换的责任，如需维修或更换，经双方书面确认，采购方支付维修或更换配件的费用。</w:t>
      </w:r>
    </w:p>
    <w:p>
      <w:pPr>
        <w:pStyle w:val="507"/>
        <w:numPr>
          <w:ilvl w:val="0"/>
          <w:numId w:val="6"/>
        </w:numPr>
        <w:wordWrap/>
        <w:spacing w:afterLines="0" w:line="360" w:lineRule="auto"/>
        <w:ind w:left="0" w:leftChars="0" w:firstLine="422" w:firstLineChars="200"/>
        <w:rPr>
          <w:rFonts w:hint="default" w:eastAsia="宋体" w:cs="Times New Roman"/>
          <w:b/>
          <w:bCs/>
          <w:snapToGrid/>
          <w:color w:val="auto"/>
          <w:spacing w:val="0"/>
          <w:sz w:val="21"/>
          <w:szCs w:val="21"/>
          <w:u w:val="single"/>
          <w:lang w:val="en-US" w:eastAsia="zh-CN"/>
        </w:rPr>
      </w:pPr>
      <w:r>
        <w:rPr>
          <w:rFonts w:hint="eastAsia" w:cs="Times New Roman"/>
          <w:b/>
          <w:bCs/>
          <w:snapToGrid/>
          <w:color w:val="auto"/>
          <w:spacing w:val="0"/>
          <w:sz w:val="21"/>
          <w:szCs w:val="21"/>
          <w:u w:val="single"/>
        </w:rPr>
        <w:t>维保期间，</w:t>
      </w:r>
      <w:r>
        <w:rPr>
          <w:rFonts w:hint="eastAsia" w:cs="Times New Roman"/>
          <w:b/>
          <w:bCs/>
          <w:snapToGrid/>
          <w:color w:val="auto"/>
          <w:spacing w:val="0"/>
          <w:sz w:val="21"/>
          <w:szCs w:val="21"/>
          <w:u w:val="single"/>
          <w:lang w:eastAsia="zh-CN"/>
        </w:rPr>
        <w:t>如因系统问题导致无法进行物品传输，中标人需自行安排人员进行人工传送，以保证医院的正常运行，如因系统传输故障而损坏药品和物品，或因系统故障时间较长，使药品在传送线上超过</w:t>
      </w:r>
      <w:r>
        <w:rPr>
          <w:rFonts w:hint="eastAsia" w:cs="Times New Roman"/>
          <w:b/>
          <w:bCs/>
          <w:snapToGrid/>
          <w:color w:val="auto"/>
          <w:spacing w:val="0"/>
          <w:sz w:val="21"/>
          <w:szCs w:val="21"/>
          <w:u w:val="single"/>
          <w:lang w:val="en-US" w:eastAsia="zh-CN"/>
        </w:rPr>
        <w:t>2小时而导致药品过期等，造成的一切损失均由中标人承担。</w:t>
      </w:r>
    </w:p>
    <w:p>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投标方需向采购方提交书面季度维护保养报告、应急现场维护工作报告。以上书面报告需双方现场技术负责人签字确认。书面提交5个工作日后，任何一方仍未签字确认，可视为已确认相关内容。</w:t>
      </w:r>
    </w:p>
    <w:p>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因使用年限增长,电子原件的老化或突然损坏是很难避免的,不是保养工作失误所致，投标方不承担免费维修或更换的责任，如需维修或更换，经双方书面确认，采购方单独支付维修或更换配件的费用。</w:t>
      </w:r>
    </w:p>
    <w:p>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cs="Times New Roman"/>
          <w:snapToGrid/>
          <w:color w:val="auto"/>
          <w:spacing w:val="0"/>
          <w:sz w:val="21"/>
          <w:szCs w:val="21"/>
        </w:rPr>
        <w:t>系统进入维保期前，投标方技术人员在采购方协助下为系统提供系统全面检 查并对现有系统做出运行状态评估及书面检修报告，经双方签字确认。</w:t>
      </w:r>
    </w:p>
    <w:p>
      <w:pPr>
        <w:pStyle w:val="507"/>
        <w:numPr>
          <w:ilvl w:val="0"/>
          <w:numId w:val="6"/>
        </w:numPr>
        <w:wordWrap/>
        <w:spacing w:afterLines="0"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lang w:eastAsia="zh-CN"/>
        </w:rPr>
        <w:t>投标人需</w:t>
      </w:r>
      <w:r>
        <w:rPr>
          <w:rFonts w:hint="eastAsia" w:cs="Times New Roman"/>
          <w:snapToGrid/>
          <w:color w:val="auto"/>
          <w:spacing w:val="0"/>
          <w:sz w:val="21"/>
          <w:szCs w:val="21"/>
        </w:rPr>
        <w:t>承诺所范围内所有工作独立按期完成，若因技术等原因无法完成的，中标供应商外聘第三方技术支持，费用由中标供应商承担。</w:t>
      </w:r>
    </w:p>
    <w:p>
      <w:pPr>
        <w:pStyle w:val="507"/>
        <w:numPr>
          <w:ilvl w:val="0"/>
          <w:numId w:val="6"/>
        </w:numPr>
        <w:spacing w:after="62"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所有维护、维修行为均建立档案，双方存底。</w:t>
      </w:r>
    </w:p>
    <w:p>
      <w:pPr>
        <w:pStyle w:val="507"/>
        <w:numPr>
          <w:ilvl w:val="0"/>
          <w:numId w:val="6"/>
        </w:numPr>
        <w:spacing w:after="62" w:line="360" w:lineRule="auto"/>
        <w:ind w:left="0" w:leftChars="0" w:firstLine="420" w:firstLineChars="200"/>
        <w:rPr>
          <w:rFonts w:cs="Times New Roman"/>
          <w:snapToGrid/>
          <w:color w:val="auto"/>
          <w:spacing w:val="0"/>
          <w:sz w:val="21"/>
          <w:szCs w:val="21"/>
        </w:rPr>
      </w:pPr>
      <w:r>
        <w:rPr>
          <w:rFonts w:hint="eastAsia" w:cs="Times New Roman"/>
          <w:snapToGrid/>
          <w:color w:val="auto"/>
          <w:spacing w:val="0"/>
          <w:sz w:val="21"/>
          <w:szCs w:val="21"/>
        </w:rPr>
        <w:t>保证易耗零配件及普通配件充足可靠，建立备件库，确保备件使用及时。</w:t>
      </w:r>
    </w:p>
    <w:p>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cs="Times New Roman"/>
          <w:snapToGrid/>
          <w:color w:val="auto"/>
          <w:spacing w:val="0"/>
          <w:sz w:val="21"/>
          <w:szCs w:val="21"/>
        </w:rPr>
        <w:t>提供日常巡查计划，月、季、年度维保的详细工作计划。认真做好运行、维修、保养记录、每月对物流系统运行情况评估报告给于采购方。以上资料作为甲方付款的重要参考依据，需设专人管理，以备查询。</w:t>
      </w:r>
    </w:p>
    <w:p>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纪律要求：维护人员在工作中应穿着统一的制服，讲究礼貌、文明执勤遵守劳动纪律等采购单位的有关规定。如有违反纪律或不称职行为者，采购单位有权向维保单位要求换人，并视具体情况做出处理决定。</w:t>
      </w:r>
    </w:p>
    <w:p>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lang w:val="en-US" w:eastAsia="zh-CN"/>
        </w:rPr>
        <w:t>服务响应</w:t>
      </w:r>
      <w:r>
        <w:rPr>
          <w:rFonts w:hint="eastAsia" w:ascii="宋体" w:hAnsi="宋体" w:eastAsia="宋体" w:cs="Times New Roman"/>
          <w:snapToGrid/>
          <w:color w:val="auto"/>
          <w:spacing w:val="0"/>
          <w:sz w:val="21"/>
          <w:szCs w:val="21"/>
        </w:rPr>
        <w:t>：需要提供24小时的响应服务,全年365天，定期对设备和物流机房进行巡检、运行记录、传输箱的查找以及应急抢修</w:t>
      </w:r>
      <w:r>
        <w:rPr>
          <w:rFonts w:hint="eastAsia" w:ascii="宋体" w:hAnsi="宋体" w:eastAsia="宋体" w:cs="Times New Roman"/>
          <w:snapToGrid/>
          <w:color w:val="auto"/>
          <w:spacing w:val="0"/>
          <w:sz w:val="21"/>
          <w:szCs w:val="21"/>
          <w:lang w:eastAsia="zh-CN"/>
        </w:rPr>
        <w:t>，</w:t>
      </w:r>
      <w:r>
        <w:rPr>
          <w:rFonts w:hint="eastAsia" w:ascii="宋体" w:hAnsi="宋体" w:eastAsia="宋体" w:cs="Times New Roman"/>
          <w:snapToGrid/>
          <w:color w:val="auto"/>
          <w:spacing w:val="0"/>
          <w:sz w:val="21"/>
          <w:szCs w:val="21"/>
          <w:lang w:val="en-US" w:eastAsia="zh-CN"/>
        </w:rPr>
        <w:t>接到报修</w:t>
      </w:r>
      <w:r>
        <w:rPr>
          <w:rFonts w:hint="eastAsia" w:ascii="宋体" w:hAnsi="宋体" w:eastAsia="宋体" w:cs="Times New Roman"/>
          <w:snapToGrid/>
          <w:color w:val="auto"/>
          <w:spacing w:val="0"/>
          <w:sz w:val="21"/>
          <w:szCs w:val="21"/>
        </w:rPr>
        <w:t>在</w:t>
      </w:r>
      <w:r>
        <w:rPr>
          <w:rFonts w:hint="eastAsia" w:ascii="宋体" w:hAnsi="宋体" w:eastAsia="宋体" w:cs="Times New Roman"/>
          <w:snapToGrid/>
          <w:color w:val="auto"/>
          <w:spacing w:val="0"/>
          <w:sz w:val="21"/>
          <w:szCs w:val="21"/>
          <w:lang w:val="en-US" w:eastAsia="zh-CN"/>
        </w:rPr>
        <w:t>30分钟</w:t>
      </w:r>
      <w:r>
        <w:rPr>
          <w:rFonts w:hint="eastAsia" w:ascii="宋体" w:hAnsi="宋体" w:eastAsia="宋体" w:cs="Times New Roman"/>
          <w:snapToGrid/>
          <w:color w:val="auto"/>
          <w:spacing w:val="0"/>
          <w:sz w:val="21"/>
          <w:szCs w:val="21"/>
        </w:rPr>
        <w:t>内到场解决，并及时将故障原因及维修情况报告采购方。可以远程操作的需在30分钟内恢复，需要技术人员在到达现场维修的一般故障在2小时内解决，保证设备运行，非硬件故障。</w:t>
      </w:r>
    </w:p>
    <w:p>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遇到相关检查及紧急维修情况，需按采购方要求配合完成工作。</w:t>
      </w:r>
    </w:p>
    <w:p>
      <w:pPr>
        <w:pStyle w:val="507"/>
        <w:numPr>
          <w:ilvl w:val="0"/>
          <w:numId w:val="6"/>
        </w:numPr>
        <w:wordWrap/>
        <w:spacing w:afterLines="0" w:line="360" w:lineRule="auto"/>
        <w:ind w:left="0" w:leftChars="0" w:firstLine="420" w:firstLineChars="200"/>
        <w:rPr>
          <w:rFonts w:hint="eastAsia" w:ascii="宋体" w:hAnsi="宋体" w:eastAsia="宋体" w:cs="Times New Roman"/>
          <w:snapToGrid/>
          <w:color w:val="auto"/>
          <w:spacing w:val="0"/>
          <w:sz w:val="21"/>
          <w:szCs w:val="21"/>
        </w:rPr>
      </w:pPr>
      <w:r>
        <w:rPr>
          <w:rFonts w:hint="eastAsia" w:ascii="宋体" w:hAnsi="宋体" w:eastAsia="宋体" w:cs="Times New Roman"/>
          <w:snapToGrid/>
          <w:color w:val="auto"/>
          <w:spacing w:val="0"/>
          <w:sz w:val="21"/>
          <w:szCs w:val="21"/>
        </w:rPr>
        <w:t>配件采购： 维保单位应</w:t>
      </w:r>
      <w:r>
        <w:rPr>
          <w:rFonts w:hint="eastAsia" w:ascii="宋体" w:hAnsi="宋体" w:eastAsia="宋体" w:cs="Times New Roman"/>
          <w:snapToGrid/>
          <w:color w:val="auto"/>
          <w:spacing w:val="0"/>
          <w:sz w:val="21"/>
          <w:szCs w:val="21"/>
          <w:lang w:val="en-US" w:eastAsia="zh-CN"/>
        </w:rPr>
        <w:t>满足招标单位列出的配件要求，并</w:t>
      </w:r>
      <w:r>
        <w:rPr>
          <w:rFonts w:hint="eastAsia" w:ascii="宋体" w:hAnsi="宋体" w:eastAsia="宋体" w:cs="Times New Roman"/>
          <w:snapToGrid/>
          <w:color w:val="auto"/>
          <w:spacing w:val="0"/>
          <w:sz w:val="21"/>
          <w:szCs w:val="21"/>
        </w:rPr>
        <w:t>对</w:t>
      </w:r>
      <w:r>
        <w:rPr>
          <w:rFonts w:hint="eastAsia" w:ascii="宋体" w:hAnsi="宋体" w:eastAsia="宋体" w:cs="Times New Roman"/>
          <w:snapToGrid/>
          <w:color w:val="auto"/>
          <w:spacing w:val="0"/>
          <w:sz w:val="21"/>
          <w:szCs w:val="21"/>
          <w:lang w:val="en-US" w:eastAsia="zh-CN"/>
        </w:rPr>
        <w:t>列出</w:t>
      </w:r>
      <w:r>
        <w:rPr>
          <w:rFonts w:hint="eastAsia" w:ascii="宋体" w:hAnsi="宋体" w:eastAsia="宋体" w:cs="Times New Roman"/>
          <w:snapToGrid/>
          <w:color w:val="auto"/>
          <w:spacing w:val="0"/>
          <w:sz w:val="21"/>
          <w:szCs w:val="21"/>
        </w:rPr>
        <w:t>配件提供全年24小时供应服务，并且免费送货上门</w:t>
      </w:r>
      <w:r>
        <w:rPr>
          <w:rFonts w:hint="eastAsia" w:ascii="宋体" w:hAnsi="宋体" w:eastAsia="宋体" w:cs="Times New Roman"/>
          <w:snapToGrid/>
          <w:color w:val="auto"/>
          <w:spacing w:val="0"/>
          <w:sz w:val="21"/>
          <w:szCs w:val="21"/>
          <w:lang w:val="en-US" w:eastAsia="zh-CN"/>
        </w:rPr>
        <w:t>免费安装</w:t>
      </w:r>
      <w:r>
        <w:rPr>
          <w:rFonts w:hint="eastAsia" w:ascii="宋体" w:hAnsi="宋体" w:eastAsia="宋体" w:cs="Times New Roman"/>
          <w:snapToGrid/>
          <w:color w:val="auto"/>
          <w:spacing w:val="0"/>
          <w:sz w:val="21"/>
          <w:szCs w:val="21"/>
        </w:rPr>
        <w:t>。为了保障</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的安全有效运行必须保障所更换配件为符合该</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型号的正品配件，并且维保单位必须为新更换的配件必须提供1年的质保。</w:t>
      </w:r>
    </w:p>
    <w:p>
      <w:pPr>
        <w:pStyle w:val="507"/>
        <w:numPr>
          <w:ilvl w:val="0"/>
          <w:numId w:val="6"/>
        </w:numPr>
        <w:wordWrap/>
        <w:spacing w:afterLines="0" w:line="360" w:lineRule="auto"/>
        <w:ind w:left="0" w:leftChars="0" w:firstLine="420" w:firstLineChars="200"/>
        <w:rPr>
          <w:rFonts w:hint="eastAsia" w:cs="Times New Roman"/>
          <w:snapToGrid/>
          <w:color w:val="auto"/>
          <w:spacing w:val="0"/>
          <w:sz w:val="21"/>
          <w:szCs w:val="21"/>
        </w:rPr>
      </w:pPr>
      <w:r>
        <w:rPr>
          <w:rFonts w:hint="eastAsia" w:ascii="宋体" w:hAnsi="宋体" w:eastAsia="宋体" w:cs="Times New Roman"/>
          <w:snapToGrid/>
          <w:color w:val="auto"/>
          <w:spacing w:val="0"/>
          <w:sz w:val="21"/>
          <w:szCs w:val="21"/>
        </w:rPr>
        <w:t>事故责任：在</w:t>
      </w:r>
      <w:r>
        <w:rPr>
          <w:rFonts w:hint="eastAsia" w:ascii="宋体" w:hAnsi="宋体" w:eastAsia="宋体" w:cs="Times New Roman"/>
          <w:snapToGrid/>
          <w:color w:val="auto"/>
          <w:spacing w:val="0"/>
          <w:sz w:val="21"/>
          <w:szCs w:val="21"/>
          <w:lang w:val="en-US" w:eastAsia="zh-CN"/>
        </w:rPr>
        <w:t>系统</w:t>
      </w:r>
      <w:r>
        <w:rPr>
          <w:rFonts w:hint="eastAsia" w:ascii="宋体" w:hAnsi="宋体" w:eastAsia="宋体" w:cs="Times New Roman"/>
          <w:snapToGrid/>
          <w:color w:val="auto"/>
          <w:spacing w:val="0"/>
          <w:sz w:val="21"/>
          <w:szCs w:val="21"/>
        </w:rPr>
        <w:t>维护保养过程中，如属维护保养不到位或是维保人员疏忽、大意或不按相关规范要求操作造成的设备损坏，以及人员伤亡事故的，由维保单位负全部责任。</w:t>
      </w:r>
    </w:p>
    <w:p>
      <w:pPr>
        <w:pStyle w:val="322"/>
        <w:numPr>
          <w:ilvl w:val="0"/>
          <w:numId w:val="4"/>
        </w:numPr>
        <w:ind w:firstLine="482" w:firstLineChars="200"/>
        <w:rPr>
          <w:rFonts w:hint="default" w:ascii="宋体" w:hAnsi="宋体" w:eastAsia="宋体" w:cs="Times New Roman"/>
          <w:b/>
          <w:color w:val="auto"/>
          <w:lang w:val="en-US" w:eastAsia="zh-CN"/>
        </w:rPr>
      </w:pPr>
      <w:r>
        <w:rPr>
          <w:rFonts w:hint="eastAsia" w:ascii="宋体" w:hAnsi="宋体" w:eastAsia="宋体" w:cs="Times New Roman"/>
          <w:b/>
          <w:color w:val="auto"/>
          <w:lang w:eastAsia="zh-CN"/>
        </w:rPr>
        <w:t>报价</w:t>
      </w:r>
      <w:r>
        <w:rPr>
          <w:rFonts w:hint="eastAsia" w:ascii="宋体" w:hAnsi="宋体" w:eastAsia="宋体" w:cs="Times New Roman"/>
          <w:b/>
          <w:color w:val="auto"/>
          <w:lang w:val="en-US" w:eastAsia="zh-CN"/>
        </w:rPr>
        <w:t>要求</w:t>
      </w:r>
    </w:p>
    <w:tbl>
      <w:tblPr>
        <w:tblStyle w:val="51"/>
        <w:tblpPr w:leftFromText="180" w:rightFromText="180" w:vertAnchor="text" w:horzAnchor="page" w:tblpX="1090" w:tblpY="315"/>
        <w:tblOverlap w:val="never"/>
        <w:tblW w:w="9960" w:type="dxa"/>
        <w:tblInd w:w="0" w:type="dxa"/>
        <w:tblLayout w:type="fixed"/>
        <w:tblCellMar>
          <w:top w:w="0" w:type="dxa"/>
          <w:left w:w="108" w:type="dxa"/>
          <w:bottom w:w="0" w:type="dxa"/>
          <w:right w:w="108" w:type="dxa"/>
        </w:tblCellMar>
      </w:tblPr>
      <w:tblGrid>
        <w:gridCol w:w="1035"/>
        <w:gridCol w:w="1893"/>
        <w:gridCol w:w="1827"/>
        <w:gridCol w:w="2430"/>
        <w:gridCol w:w="2775"/>
      </w:tblGrid>
      <w:tr>
        <w:tblPrEx>
          <w:tblLayout w:type="fixed"/>
          <w:tblCellMar>
            <w:top w:w="0" w:type="dxa"/>
            <w:left w:w="108" w:type="dxa"/>
            <w:bottom w:w="0" w:type="dxa"/>
            <w:right w:w="108" w:type="dxa"/>
          </w:tblCellMar>
        </w:tblPrEx>
        <w:trPr>
          <w:trHeight w:val="281" w:hRule="atLeast"/>
        </w:trPr>
        <w:tc>
          <w:tcPr>
            <w:tcW w:w="1035"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8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服务名称</w:t>
            </w:r>
          </w:p>
        </w:tc>
        <w:tc>
          <w:tcPr>
            <w:tcW w:w="1827"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服务内容</w:t>
            </w:r>
          </w:p>
        </w:tc>
        <w:tc>
          <w:tcPr>
            <w:tcW w:w="243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bidi="ar"/>
              </w:rPr>
              <w:t>金额（元）</w:t>
            </w:r>
          </w:p>
        </w:tc>
        <w:tc>
          <w:tcPr>
            <w:tcW w:w="2775"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单位</w:t>
            </w:r>
          </w:p>
        </w:tc>
      </w:tr>
      <w:tr>
        <w:tblPrEx>
          <w:tblLayout w:type="fixed"/>
          <w:tblCellMar>
            <w:top w:w="0" w:type="dxa"/>
            <w:left w:w="108" w:type="dxa"/>
            <w:bottom w:w="0" w:type="dxa"/>
            <w:right w:w="108" w:type="dxa"/>
          </w:tblCellMar>
        </w:tblPrEx>
        <w:trPr>
          <w:trHeight w:val="452" w:hRule="atLeast"/>
        </w:trPr>
        <w:tc>
          <w:tcPr>
            <w:tcW w:w="103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1893" w:type="dxa"/>
            <w:vMerge w:val="restart"/>
            <w:tcBorders>
              <w:top w:val="nil"/>
              <w:left w:val="nil"/>
              <w:bottom w:val="single" w:color="000000" w:sz="8" w:space="0"/>
              <w:right w:val="single" w:color="000000" w:sz="8" w:space="0"/>
            </w:tcBorders>
            <w:noWrap w:val="0"/>
            <w:vAlign w:val="center"/>
          </w:tcPr>
          <w:p>
            <w:pPr>
              <w:widowControl w:val="0"/>
              <w:spacing w:line="240" w:lineRule="auto"/>
              <w:ind w:left="0" w:leftChars="0"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kern w:val="2"/>
                <w:sz w:val="21"/>
                <w:szCs w:val="21"/>
                <w:lang w:val="en-US" w:eastAsia="zh-CN" w:bidi="ar-SA"/>
              </w:rPr>
              <w:t>柳州市工人医院-总院中型箱式物流传输系统维保服务外包项目</w:t>
            </w:r>
          </w:p>
        </w:tc>
        <w:tc>
          <w:tcPr>
            <w:tcW w:w="1827"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系统维护保养费</w:t>
            </w:r>
          </w:p>
        </w:tc>
        <w:tc>
          <w:tcPr>
            <w:tcW w:w="243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p>
        </w:tc>
        <w:tc>
          <w:tcPr>
            <w:tcW w:w="2775"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元/年</w:t>
            </w:r>
          </w:p>
        </w:tc>
      </w:tr>
      <w:tr>
        <w:tblPrEx>
          <w:tblLayout w:type="fixed"/>
          <w:tblCellMar>
            <w:top w:w="0" w:type="dxa"/>
            <w:left w:w="108" w:type="dxa"/>
            <w:bottom w:w="0" w:type="dxa"/>
            <w:right w:w="108" w:type="dxa"/>
          </w:tblCellMar>
        </w:tblPrEx>
        <w:trPr>
          <w:trHeight w:val="118" w:hRule="atLeast"/>
        </w:trPr>
        <w:tc>
          <w:tcPr>
            <w:tcW w:w="1035"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1893"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000000"/>
                <w:sz w:val="21"/>
                <w:szCs w:val="21"/>
              </w:rPr>
            </w:pPr>
          </w:p>
        </w:tc>
        <w:tc>
          <w:tcPr>
            <w:tcW w:w="1827"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lang w:val="en-US" w:eastAsia="zh-CN" w:bidi="ar"/>
              </w:rPr>
              <w:t>耗材及配件费用单价合计（详见附件）</w:t>
            </w:r>
          </w:p>
        </w:tc>
        <w:tc>
          <w:tcPr>
            <w:tcW w:w="2430" w:type="dxa"/>
            <w:tcBorders>
              <w:top w:val="nil"/>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000000"/>
                <w:sz w:val="21"/>
                <w:szCs w:val="21"/>
                <w:highlight w:val="none"/>
              </w:rPr>
            </w:pPr>
          </w:p>
        </w:tc>
        <w:tc>
          <w:tcPr>
            <w:tcW w:w="2775"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元</w:t>
            </w:r>
          </w:p>
        </w:tc>
      </w:tr>
      <w:tr>
        <w:tblPrEx>
          <w:tblLayout w:type="fixed"/>
          <w:tblCellMar>
            <w:top w:w="0" w:type="dxa"/>
            <w:left w:w="108" w:type="dxa"/>
            <w:bottom w:w="0" w:type="dxa"/>
            <w:right w:w="108" w:type="dxa"/>
          </w:tblCellMar>
        </w:tblPrEx>
        <w:trPr>
          <w:trHeight w:val="90" w:hRule="atLeast"/>
        </w:trPr>
        <w:tc>
          <w:tcPr>
            <w:tcW w:w="9960" w:type="dxa"/>
            <w:gridSpan w:val="5"/>
            <w:tcBorders>
              <w:top w:val="nil"/>
              <w:left w:val="single" w:color="000000" w:sz="8" w:space="0"/>
              <w:bottom w:val="single" w:color="000000" w:sz="8" w:space="0"/>
              <w:right w:val="single" w:color="000000" w:sz="8" w:space="0"/>
            </w:tcBorders>
            <w:noWrap w:val="0"/>
            <w:vAlign w:val="center"/>
          </w:tcPr>
          <w:p>
            <w:pPr>
              <w:keepNext/>
              <w:keepLines/>
              <w:pageBreakBefore w:val="0"/>
              <w:widowControl w:val="0"/>
              <w:kinsoku/>
              <w:wordWrap/>
              <w:overflowPunct/>
              <w:topLinePunct w:val="0"/>
              <w:autoSpaceDE/>
              <w:autoSpaceDN/>
              <w:bidi w:val="0"/>
              <w:adjustRightInd/>
              <w:snapToGrid/>
              <w:spacing w:before="280" w:after="290" w:line="240" w:lineRule="auto"/>
              <w:jc w:val="both"/>
              <w:textAlignment w:val="auto"/>
              <w:outlineLvl w:val="3"/>
              <w:rPr>
                <w:rFonts w:hint="eastAsia" w:ascii="宋体" w:hAnsi="宋体" w:eastAsia="宋体" w:cs="宋体"/>
                <w:b/>
                <w:bCs/>
                <w:color w:val="auto"/>
                <w:kern w:val="0"/>
                <w:sz w:val="21"/>
                <w:szCs w:val="21"/>
                <w:u w:val="single"/>
                <w:lang w:val="en-US" w:eastAsia="zh-CN" w:bidi="ar"/>
              </w:rPr>
            </w:pPr>
            <w:r>
              <w:rPr>
                <w:rFonts w:hint="eastAsia" w:ascii="宋体" w:hAnsi="宋体" w:eastAsia="宋体" w:cs="宋体"/>
                <w:b/>
                <w:bCs/>
                <w:color w:val="auto"/>
                <w:kern w:val="0"/>
                <w:sz w:val="21"/>
                <w:szCs w:val="21"/>
                <w:lang w:val="en-US" w:eastAsia="zh-CN" w:bidi="ar"/>
              </w:rPr>
              <w:t>合计人民币合计金额（大写）</w:t>
            </w:r>
            <w:r>
              <w:rPr>
                <w:rFonts w:hint="eastAsia" w:ascii="宋体" w:hAnsi="宋体" w:eastAsia="宋体" w:cs="宋体"/>
                <w:b/>
                <w:bCs/>
                <w:color w:val="auto"/>
                <w:kern w:val="0"/>
                <w:sz w:val="21"/>
                <w:szCs w:val="21"/>
                <w:u w:val="single"/>
                <w:lang w:val="en-US" w:eastAsia="zh-CN" w:bidi="ar"/>
              </w:rPr>
              <w:t xml:space="preserve">               </w:t>
            </w:r>
            <w:r>
              <w:rPr>
                <w:rFonts w:hint="eastAsia" w:ascii="宋体" w:hAnsi="宋体" w:eastAsia="宋体" w:cs="宋体"/>
                <w:b/>
                <w:bCs/>
                <w:color w:val="auto"/>
                <w:kern w:val="0"/>
                <w:sz w:val="21"/>
                <w:szCs w:val="21"/>
                <w:lang w:val="en-US" w:eastAsia="zh-CN" w:bidi="ar"/>
              </w:rPr>
              <w:t xml:space="preserve">（小写）¥  </w:t>
            </w:r>
            <w:r>
              <w:rPr>
                <w:rFonts w:hint="eastAsia" w:ascii="宋体" w:hAnsi="宋体" w:eastAsia="宋体" w:cs="宋体"/>
                <w:b/>
                <w:bCs/>
                <w:color w:val="auto"/>
                <w:kern w:val="0"/>
                <w:sz w:val="21"/>
                <w:szCs w:val="21"/>
                <w:u w:val="single"/>
                <w:lang w:val="en-US" w:eastAsia="zh-CN" w:bidi="ar"/>
              </w:rPr>
              <w:t xml:space="preserve">                      </w:t>
            </w:r>
          </w:p>
          <w:p>
            <w:pPr>
              <w:keepNext/>
              <w:keepLines/>
              <w:pageBreakBefore w:val="0"/>
              <w:widowControl w:val="0"/>
              <w:kinsoku/>
              <w:wordWrap/>
              <w:overflowPunct/>
              <w:topLinePunct w:val="0"/>
              <w:autoSpaceDE/>
              <w:autoSpaceDN/>
              <w:bidi w:val="0"/>
              <w:adjustRightInd/>
              <w:snapToGrid/>
              <w:spacing w:before="280" w:after="290" w:line="240" w:lineRule="auto"/>
              <w:jc w:val="both"/>
              <w:textAlignment w:val="auto"/>
              <w:outlineLvl w:val="3"/>
              <w:rPr>
                <w:rFonts w:hint="eastAsia" w:ascii="宋体" w:hAnsi="宋体" w:eastAsia="宋体" w:cs="宋体"/>
                <w:b/>
                <w:bCs/>
                <w:kern w:val="2"/>
                <w:sz w:val="21"/>
                <w:szCs w:val="21"/>
                <w:lang w:val="en-US" w:eastAsia="zh-CN" w:bidi="ar-SA"/>
              </w:rPr>
            </w:pPr>
            <w:r>
              <w:rPr>
                <w:rFonts w:hint="eastAsia" w:ascii="宋体" w:hAnsi="宋体" w:eastAsia="宋体" w:cs="宋体"/>
                <w:b/>
                <w:bCs/>
                <w:color w:val="C00000"/>
                <w:kern w:val="0"/>
                <w:sz w:val="21"/>
                <w:szCs w:val="21"/>
                <w:lang w:val="en-US" w:eastAsia="zh-CN" w:bidi="ar"/>
              </w:rPr>
              <w:t>备注：配件耗材清单含人工费及安装（详看附表），1+2=合计总价。</w:t>
            </w:r>
          </w:p>
        </w:tc>
      </w:tr>
    </w:tbl>
    <w:p>
      <w:pPr>
        <w:pStyle w:val="507"/>
        <w:wordWrap/>
        <w:spacing w:afterLines="0" w:line="360" w:lineRule="auto"/>
        <w:ind w:firstLine="420"/>
        <w:rPr>
          <w:rFonts w:hint="eastAsia" w:cs="Times New Roman"/>
          <w:snapToGrid/>
          <w:color w:val="auto"/>
          <w:spacing w:val="0"/>
          <w:sz w:val="21"/>
          <w:szCs w:val="21"/>
        </w:rPr>
      </w:pPr>
    </w:p>
    <w:p>
      <w:pPr>
        <w:pStyle w:val="322"/>
        <w:numPr>
          <w:ilvl w:val="0"/>
          <w:numId w:val="4"/>
        </w:numPr>
        <w:ind w:firstLine="482" w:firstLineChars="200"/>
        <w:rPr>
          <w:rFonts w:hint="eastAsia" w:ascii="宋体" w:hAnsi="宋体" w:eastAsia="宋体" w:cs="Times New Roman"/>
          <w:b/>
          <w:color w:val="auto"/>
          <w:lang w:val="en-US" w:eastAsia="zh-CN"/>
        </w:rPr>
      </w:pPr>
      <w:r>
        <w:rPr>
          <w:rFonts w:hint="eastAsia" w:ascii="宋体" w:hAnsi="宋体" w:eastAsia="宋体" w:cs="Times New Roman"/>
          <w:b/>
          <w:color w:val="auto"/>
          <w:lang w:val="en-US" w:eastAsia="zh-CN"/>
        </w:rPr>
        <w:t>合同期限机结算方式</w:t>
      </w:r>
    </w:p>
    <w:p>
      <w:pPr>
        <w:numPr>
          <w:ilvl w:val="0"/>
          <w:numId w:val="7"/>
        </w:numPr>
        <w:wordWrap/>
        <w:spacing w:afterLines="0" w:line="360" w:lineRule="auto"/>
        <w:ind w:left="0" w:leftChars="0" w:firstLine="420" w:firstLineChars="200"/>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t>服务期限：自合同签订之日起1年。</w:t>
      </w:r>
    </w:p>
    <w:p>
      <w:pPr>
        <w:numPr>
          <w:ilvl w:val="0"/>
          <w:numId w:val="7"/>
        </w:numPr>
        <w:wordWrap/>
        <w:spacing w:afterLines="0" w:line="360" w:lineRule="auto"/>
        <w:ind w:left="0" w:leftChars="0" w:firstLine="420" w:firstLineChars="200"/>
        <w:rPr>
          <w:rFonts w:hint="default" w:ascii="宋体" w:hAnsi="宋体" w:eastAsia="宋体" w:cs="Times New Roman"/>
          <w:snapToGrid/>
          <w:color w:val="000000" w:themeColor="text1"/>
          <w:spacing w:val="0"/>
          <w:kern w:val="2"/>
          <w:sz w:val="21"/>
          <w:szCs w:val="21"/>
          <w:lang w:val="en-US" w:eastAsia="zh-CN" w:bidi="ar-SA"/>
          <w14:textFill>
            <w14:solidFill>
              <w14:schemeClr w14:val="tx1"/>
            </w14:solidFill>
          </w14:textFill>
        </w:rPr>
      </w:pPr>
      <w:r>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t>服务地点：柳州市柳南区和平路156号柳州市工人医院总院</w:t>
      </w:r>
    </w:p>
    <w:p>
      <w:pPr>
        <w:numPr>
          <w:ilvl w:val="0"/>
          <w:numId w:val="7"/>
        </w:numPr>
        <w:wordWrap/>
        <w:spacing w:afterLines="0" w:line="360" w:lineRule="auto"/>
        <w:ind w:left="0" w:leftChars="0" w:firstLine="420" w:firstLineChars="200"/>
        <w:rPr>
          <w:b/>
          <w:color w:val="C00000"/>
        </w:rPr>
      </w:pPr>
      <w:r>
        <w:rPr>
          <w:rFonts w:hint="eastAsia" w:ascii="宋体" w:hAnsi="宋体" w:eastAsia="宋体" w:cs="Times New Roman"/>
          <w:snapToGrid/>
          <w:color w:val="000000" w:themeColor="text1"/>
          <w:spacing w:val="0"/>
          <w:kern w:val="2"/>
          <w:sz w:val="21"/>
          <w:szCs w:val="21"/>
          <w:lang w:val="en-US" w:eastAsia="zh-CN" w:bidi="ar-SA"/>
          <w14:textFill>
            <w14:solidFill>
              <w14:schemeClr w14:val="tx1"/>
            </w14:solidFill>
          </w14:textFill>
        </w:rPr>
        <w:t>付款方式：维护保养费按季度支付，</w:t>
      </w:r>
      <w:r>
        <w:rPr>
          <w:rFonts w:hint="eastAsia" w:ascii="Times New Roman" w:eastAsia="宋体"/>
          <w:lang w:val="en-US" w:eastAsia="zh-CN"/>
        </w:rPr>
        <w:t>耗材及配件按实际采购量每季度结算一次</w:t>
      </w:r>
    </w:p>
    <w:p>
      <w:pPr>
        <w:pStyle w:val="322"/>
        <w:numPr>
          <w:ilvl w:val="0"/>
          <w:numId w:val="4"/>
        </w:numPr>
        <w:ind w:firstLine="482" w:firstLineChars="200"/>
        <w:rPr>
          <w:rFonts w:hint="eastAsia" w:ascii="宋体" w:hAnsi="宋体" w:eastAsia="宋体" w:cs="Times New Roman"/>
          <w:b/>
          <w:color w:val="auto"/>
          <w:lang w:val="en-US" w:eastAsia="zh-CN"/>
        </w:rPr>
      </w:pPr>
      <w:r>
        <w:rPr>
          <w:rFonts w:hint="eastAsia" w:ascii="宋体" w:hAnsi="宋体" w:eastAsia="宋体" w:cs="Times New Roman"/>
          <w:b/>
          <w:color w:val="auto"/>
          <w:lang w:val="en-US" w:eastAsia="zh-CN"/>
        </w:rPr>
        <w:t>供应商遴选方式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bCs/>
          <w:color w:val="auto"/>
          <w:szCs w:val="21"/>
        </w:rPr>
      </w:pPr>
      <w:r>
        <w:rPr>
          <w:rFonts w:hint="eastAsia" w:ascii="宋体" w:hAnsi="宋体" w:eastAsia="宋体" w:cs="Times New Roman"/>
          <w:bCs/>
          <w:color w:val="auto"/>
          <w:szCs w:val="21"/>
        </w:rPr>
        <w:t>对供应商商品质量、服务及时性及价格进行综合评价</w:t>
      </w:r>
      <w:r>
        <w:rPr>
          <w:rFonts w:hint="eastAsia" w:ascii="宋体" w:hAnsi="宋体" w:eastAsia="宋体" w:cs="Times New Roman"/>
          <w:bCs/>
          <w:color w:val="auto"/>
          <w:szCs w:val="21"/>
          <w:lang w:eastAsia="zh-CN"/>
        </w:rPr>
        <w:t>，</w:t>
      </w:r>
      <w:r>
        <w:rPr>
          <w:rFonts w:hint="eastAsia" w:ascii="宋体" w:hAnsi="宋体" w:eastAsia="宋体" w:cs="Times New Roman"/>
          <w:bCs/>
          <w:color w:val="auto"/>
          <w:szCs w:val="21"/>
          <w:lang w:val="en-US" w:eastAsia="zh-CN"/>
        </w:rPr>
        <w:t>遴选1家服务商</w:t>
      </w:r>
      <w:r>
        <w:rPr>
          <w:rFonts w:hint="eastAsia" w:ascii="宋体" w:hAnsi="宋体" w:eastAsia="宋体" w:cs="Times New Roman"/>
          <w:bCs/>
          <w:color w:val="auto"/>
          <w:szCs w:val="21"/>
        </w:rPr>
        <w:t>。</w:t>
      </w: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spacing w:line="360" w:lineRule="auto"/>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bCs/>
          <w:color w:val="000000"/>
          <w:kern w:val="0"/>
          <w:sz w:val="21"/>
          <w:szCs w:val="21"/>
          <w:lang w:val="en-US" w:eastAsia="zh-CN"/>
        </w:rPr>
        <w:t>附件：配件及耗材清单如下（要求为符合该系统型号的原厂正品配件，含配送上门，免人工，包安装）</w:t>
      </w:r>
      <w:r>
        <w:rPr>
          <w:rFonts w:hint="eastAsia" w:ascii="宋体" w:hAnsi="宋体" w:eastAsia="宋体" w:cs="宋体"/>
          <w:b/>
          <w:bCs/>
          <w:color w:val="FF0000"/>
          <w:kern w:val="0"/>
          <w:sz w:val="21"/>
          <w:szCs w:val="21"/>
          <w:lang w:val="en-US" w:eastAsia="zh-CN"/>
        </w:rPr>
        <w:t>子物料配件未标注品牌、规格、型号的配件，为中型物流传输系统厂家--深圳市天和双力生产，标注的品牌、规格、型号仅为方便描述，无特殊要求。</w:t>
      </w:r>
    </w:p>
    <w:p>
      <w:pPr>
        <w:numPr>
          <w:ilvl w:val="0"/>
          <w:numId w:val="8"/>
        </w:numPr>
        <w:spacing w:line="360" w:lineRule="auto"/>
        <w:ind w:left="425" w:leftChars="0" w:hanging="425" w:firstLineChars="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电气部分</w:t>
      </w:r>
    </w:p>
    <w:tbl>
      <w:tblPr>
        <w:tblStyle w:val="51"/>
        <w:tblW w:w="11291" w:type="dxa"/>
        <w:tblInd w:w="-5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0"/>
        <w:gridCol w:w="1764"/>
        <w:gridCol w:w="1851"/>
        <w:gridCol w:w="2726"/>
        <w:gridCol w:w="1830"/>
        <w:gridCol w:w="9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层次</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子物料编码</w:t>
            </w:r>
          </w:p>
        </w:tc>
        <w:tc>
          <w:tcPr>
            <w:tcW w:w="1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子物料名称</w:t>
            </w:r>
          </w:p>
        </w:tc>
        <w:tc>
          <w:tcPr>
            <w:tcW w:w="2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型号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品牌</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0</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c>
          <w:tcPr>
            <w:tcW w:w="18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c>
          <w:tcPr>
            <w:tcW w:w="2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曳引式垂直输送机</w:t>
            </w:r>
          </w:p>
        </w:tc>
        <w:tc>
          <w:tcPr>
            <w:tcW w:w="185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曳引式垂直输送机</w:t>
            </w:r>
          </w:p>
        </w:tc>
        <w:tc>
          <w:tcPr>
            <w:tcW w:w="272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曳引式垂直输送机（3台东西侧及五楼裙楼）</w:t>
            </w:r>
          </w:p>
        </w:tc>
        <w:tc>
          <w:tcPr>
            <w:tcW w:w="183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TWSL</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10101000019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6ES7512-1DK01-0AB0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10102000001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MC存储卡</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6ES7954-8LC03-0AA0,4MB</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10105000022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数字量输入模块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6ES7131-6BH01-0BA0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10105000024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数字量输出模块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6ES7132-6BH01-0BA0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10109000001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基座单元</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6ES7193-6BP00-0BA0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10109000002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基座单元</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6ES7193-6BP00-0DA0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10109000005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RJ45总线适配器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6ES7193-6AR00-0AA0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10111000001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RJ45连接器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6GK1901-1BB10-2AB0,10件/包</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10111000004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PN电缆</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6XV1840-2AH10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10111000017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工业网络交换机</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IES101-SW5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10111000008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工业网络交换机</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IES101-SW8</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10125000015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触摸屏</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MT8121iE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10201000020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塑壳断路器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NSC100B3080N</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10201000004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塑壳断路器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NSC60E3040N</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延伸旋转手柄</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NSC100ROTEL</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10202000012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相间隔板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NSC100FASB2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10204000071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OSMC32N2C10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10204000072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OSMC32N2C16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10204000088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OSMC32N3C32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10204000460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A9F19463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10205000041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剩余电流动作保护附件</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A9V08463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GV2-ME05C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10207000003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断路器辅助触点</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GV-AE20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10220000010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继电器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DRM270024LT</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10224000004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继电器底座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FS 2CO ECO</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10225000001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LC1-D09M7C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10225000005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LC1-D32M7C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10226000003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LP1-K0910BD3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10227000004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可逆接触器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LP2-K0901BD3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10228000020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接触器辅助触头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LA1-KN20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10229000056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NDR-120-24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10232000013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电柜温控器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JWT6011F</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10232000061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风扇及过滤器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115H1725HA2SMTO_SFF115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10233000019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SVF115H_SVF115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10301000002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PB1S-10/g</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10301000013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PB1S-01/r</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10302000001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带灯按钮开关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PB1S-10D/r23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10305000011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钥匙选择开关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PB1S-10Y/E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10306000004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紧急停止按钮</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PB1S-01ZR/r</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PB1-D/g23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10311000010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PB1-D/w31</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10311000015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PB1-D/w32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10313000015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急停钮防护座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AQG5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拉绳急停开关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ZQ 900-13N_101184476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拉绳急停开关指示灯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G24-M20_101150877</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绳张紧轮</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S900_101186704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吊环螺钉</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BM10x40_101084928</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线夹</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5mmNIRO_101203478</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支撑环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支撑环_101203476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张紧千斤顶M6</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SPANNSCHLOSS M6_101087930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10314000009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张力弹簧RZ-2041</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ZUGFEDER RZ-2041_101186696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10314000010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挂环NIRO</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SCHAEKEL NIRO_101186490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10314000011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钢丝缆线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红色PVC外套Φ5mm</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10320000011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声光报警灯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JD50F3-L01G/R/F0111B024/底座C-7</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10501000124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变频器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ACS355-03E-23A1-4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10503000009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基本型操作面板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ACS-CP-D,助手型</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10503000062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制动电阻</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RXHG 1500W/36Ω</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10621000001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激光测距仪</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AMS 348i 120,50113710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10621000003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反光胶贴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Reflective tape 500x500-S,50104362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10601000099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对射光电开关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XUM 2APSBL2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10601000007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镜反射光电开关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XUM 9APCNM8,含反射板XUZ C50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10602000071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接近开关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E2B-M30LS15-M1-B1</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10603000008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限位开关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XCE145C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东西侧曳引机机房空调</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东西侧曳引机机房空调</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电气辅材（软管，线耳，线缆等）</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标准站点</w:t>
            </w:r>
          </w:p>
        </w:tc>
        <w:tc>
          <w:tcPr>
            <w:tcW w:w="1851"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标准站点</w:t>
            </w:r>
          </w:p>
        </w:tc>
        <w:tc>
          <w:tcPr>
            <w:tcW w:w="272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color w:val="000000"/>
                <w:sz w:val="20"/>
                <w:szCs w:val="20"/>
                <w:u w:val="none"/>
                <w:lang w:val="en-US" w:eastAsia="zh-CN" w:bidi="ar"/>
              </w:rPr>
              <w:t>标准站点</w:t>
            </w:r>
          </w:p>
        </w:tc>
        <w:tc>
          <w:tcPr>
            <w:tcW w:w="18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TWSL</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10125000014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触摸屏</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MT8102iE 10.1"TFT,1024x600,128Mb闪存,串口/以太网/USB接口</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MT8102iE</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10306000009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紧急停止按钮</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XB2BS542C 1NC,旋转复位,红色,Ø40mm</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XB2BS542C</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10311000024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AD16-22D/w31S 白色,AC220V</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AD16-22D/w31S</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苏州西门子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PB1-D/g23 绿色,DC24V</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PB1-D/g23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苏州西门子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10233000016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SVF112H_SVF112 92×92mm</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SVF112H_SVF112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10232000023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风扇及过滤器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112H8025HA2SPLO_SFF112 AC230V,14.0/13.5W,92×92mm,深度50mm,含油轴承,出风方向</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112H8025HA2SPLO_SFF112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10209000003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隔离开关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V0C+KCF1PZC 3P/25A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V0C+KCF1PZC</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10204000454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A9F19416 4P/16A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A9F19416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10205000038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剩余电流动作保护附件</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A9V08440 4P ,额定电流40A,剩余动作电流30mA,电子式</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A9V08440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OSMC32N1C6 1P/6A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GV2-ME05C 0.63-1A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GV2-ME05C</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10207000003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断路器辅助触点</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GV-AE20 瞬时辅助触头,前面安装,2NO</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GV-AE20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10226000003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LP1-K0910BD3 低功耗,DC24V,1NO</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LP1-K0910BD3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10220000001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中间继电器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RXM2LB2BD DC24V,2对触点,带LED指示</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RXM2LB2BD</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10224000001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继电器底座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RXZE1M2C 2对触点</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RXZE1M2C</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施耐德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10221000003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固态继电器模块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Y315-P,4位 输入PNP,24VDC,输出NPN/PNP,60VDC/1A,300Hz</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Y315-P,4位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10229000056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NDR-120-24 DIN导轨安装,DC24V,5A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NDR-120-24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10229000057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NDR-240-24 DIN导轨安装,DC24V,10A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NDR-240-24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10101000011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CPU</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6ES7212-1AE40-0XB0 1212CPU DC/DC/DC,8DI/6DO/2AI,75KB/1MB</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6ES7212-1AE40-0XB0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西门子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10105000018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数字量混合模块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6ES7223-1BL32-0XB0 SM1223,16DI/16DO</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6ES7223-1BL32-0XB0</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西门子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10234000006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电源插座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2P+E,10A 250V/10A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2P+E,10A</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10232000013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电柜温控器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JWT6011F 常开,风扇控制,蓝色旋钮,双金属片0-60℃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JWT6011F</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10235000007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LED球泡</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E27螺口,13W,白光,AC220V</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飞利浦</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10235000010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LED灯带</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24V,套管,RGB变色</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10107000003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PtP通信信号板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6ES7241-1CH30-1XB0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10107000004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PtP通讯模块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6ES7241-1CH32-0XB0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10803000740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M12螺钉式连接器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T4110002041-000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10501000119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变频器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ACS355-03E-05A6-4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10503000009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基本型操作面板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ACS-CP-D,助手型</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10503000066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铝壳制动电阻</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200Ω/400W</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电气辅材（软管，线耳，线缆等）</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换层输送线</w:t>
            </w:r>
          </w:p>
        </w:tc>
        <w:tc>
          <w:tcPr>
            <w:tcW w:w="1851"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换层输送线</w:t>
            </w:r>
          </w:p>
        </w:tc>
        <w:tc>
          <w:tcPr>
            <w:tcW w:w="2726"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换层输送线(Y楼，四楼，五楼共5套系统)</w:t>
            </w:r>
          </w:p>
        </w:tc>
        <w:tc>
          <w:tcPr>
            <w:tcW w:w="183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b/>
                <w:bCs/>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TWSL</w:t>
            </w:r>
          </w:p>
        </w:tc>
        <w:tc>
          <w:tcPr>
            <w:tcW w:w="111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top"/>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10105000022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数字量输入模块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6ES7131-6BH01-0BA0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10105000024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数字量输出模块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6ES7132-6BH01-0BA0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10109000004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基座单元</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6ES7193-6BP60-0DA0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10113000004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AS-I双网关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BWU3759</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10114000001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 双网关电源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BW1593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10115000001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AS-I数字量模块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BWU2721</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10115000003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AS-I数字量模块</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BWU2490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10120000001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AS-I无源分线器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BW1239</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10121000001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AS-I黄色电缆</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BW2756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10122000004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AS-I总线终端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BWU1644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10125000015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触摸屏</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MT8121iE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10202000017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延伸旋转手柄</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EZDROTE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10202000020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相间隔板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EZDFASB4PN</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10204000058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OSMC32N1C10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10204000071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OSMC32N2C10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10204000083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OSMC32N3C6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10204000085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OSMC32N3C16</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10204000087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OSMC32N3C25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10204000091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微型断路器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OSMC32N3C63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GV2-ME04C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GV2-ME05C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GV2-ME06C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GV2-ME07C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10206000008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GV2-ME08C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10207000003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断路器辅助触点</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GV-AE20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10208000085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固定式带漏电保护断路器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EZD160E4160ELN</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10220000001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中间继电器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RXM2LB2BD</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10225000001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LC1-D09M7C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10226000003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直流接触器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LP1-K0910BD3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10227000004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可逆接触器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LP2-K0901BD3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10228000020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接触器辅助触头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LA1-KN20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10229000049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MDR-60-24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10229000057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NDR-240-24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10229000080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开关电源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MDR-40-24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10232000013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电柜温控器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JWT6011F</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10232000147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风扇及过滤器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EFF113F12025HBP-A2T-O</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10232000047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风扇及过滤器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114H1225HA2SPTO_SFF114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10233000017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SVF113H_SVF113禁用</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10233000018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过滤器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SVF114H_SVF114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10234000005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电源插座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2P,10A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10234000006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电源插座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2P+E,10A</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10235000007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LED球泡</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E27螺口,13W,白光,AC220V</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10235000008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明装灯座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E27螺口,220V</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10301000002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PB1S-10/g</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10301000013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PB1S-01/r</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10302000001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带灯按钮开关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PB1S-10D/r23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10305000011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钥匙选择开关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PB1S-10Y/E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10306000006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紧急停止按钮</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PB1S-11ZR/r</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10310000002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开关元件</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PB1-F-C10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PB1-D/r23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10311000002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PB1-D/g23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PB1-D/g31</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10311000010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指示灯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PB1-D/w31</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10313000015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急停钮防护座</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AQG5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10320000001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声光报警灯</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JD50F4-L01G/Y/R/F0111B024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10601000007</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镜反射光电开关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XUM 9APCNM8,含反射板XUZ C50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10602000063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接近开关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PR18-10DP</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10603000008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限位开关</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XCE145C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10615000021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RFID控制器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TBEN-S2-2RFID-4DXP_6814029</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10615000023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Q80RFID读写头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TNLR-Q80-H1147_7030230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10615000029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M12公接头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BS8151-0/9,M12,4针RFID活接头公头_6904613</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10615000030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M8公接头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908611,模块电源口M8,4针活接头male</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10615000031</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电源电缆</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614,电源线4芯电缆-PVC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10615000032</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以太网线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795,PROFINET4芯以太网线-PVC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10615000033</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M8以太网公头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908651,M8,4针以太网活接头公头</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10615000034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RJ45以太网接头</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999061,RJ45以太网接头</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3.77</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10615000025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可移动载码体</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TW-R50-B128_6900504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3.78</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10803000030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M8母插线PVC直型</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RPC-M8-FS-4CON-PVC-1.5</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10803000428</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M8直型母插转M12直型公插A型</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RPC-M8-4FS-1.5-M12-4MS-PVC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10803000714</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M12螺钉式连接器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T4111002041-000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10803000740</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M12螺钉式连接器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T4110002041-000</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3.82</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10111000005</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工业网络交换机</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6GK50050BA001AB2</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3.83</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10501000119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变频器</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ACS355-03E-05A6-4</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10503000009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基本型操作面板</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ACS-CP-D,助手型</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3.85</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10503000059</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屏蔽线压线框</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KLBU 4-13.5 SC</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3.86</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10503000066</w:t>
            </w: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铝壳制动电阻</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200Ω/400W</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3.90</w:t>
            </w:r>
          </w:p>
        </w:tc>
        <w:tc>
          <w:tcPr>
            <w:tcW w:w="176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85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w:t>
            </w:r>
          </w:p>
        </w:tc>
        <w:tc>
          <w:tcPr>
            <w:tcW w:w="27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电气辅材（软管，线耳，线缆等）</w:t>
            </w:r>
          </w:p>
        </w:tc>
        <w:tc>
          <w:tcPr>
            <w:tcW w:w="183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val="0"/>
              <w:snapToGrid w:val="0"/>
              <w:jc w:val="both"/>
              <w:rPr>
                <w:rFonts w:hint="eastAsia" w:ascii="仿宋" w:hAnsi="仿宋" w:eastAsia="仿宋" w:cs="仿宋"/>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 w:hAnsi="仿宋" w:eastAsia="仿宋" w:cs="仿宋"/>
                <w:i w:val="0"/>
                <w:iCs w:val="0"/>
                <w:color w:val="000000"/>
                <w:sz w:val="20"/>
                <w:szCs w:val="20"/>
                <w:u w:val="none"/>
              </w:rPr>
            </w:pPr>
          </w:p>
        </w:tc>
      </w:tr>
    </w:tbl>
    <w:p>
      <w:pPr>
        <w:ind w:firstLine="560" w:firstLineChars="200"/>
        <w:rPr>
          <w:rFonts w:hint="eastAsia" w:ascii="宋体" w:hAnsi="宋体" w:eastAsia="宋体" w:cs="宋体"/>
          <w:b w:val="0"/>
          <w:bCs w:val="0"/>
          <w:sz w:val="28"/>
          <w:szCs w:val="28"/>
          <w:lang w:val="en-US" w:eastAsia="zh-CN"/>
        </w:rPr>
      </w:pPr>
    </w:p>
    <w:p>
      <w:pPr>
        <w:numPr>
          <w:ilvl w:val="0"/>
          <w:numId w:val="8"/>
        </w:numPr>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机械部分：</w:t>
      </w:r>
    </w:p>
    <w:tbl>
      <w:tblPr>
        <w:tblStyle w:val="51"/>
        <w:tblW w:w="109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90"/>
        <w:gridCol w:w="1500"/>
        <w:gridCol w:w="1365"/>
        <w:gridCol w:w="1425"/>
        <w:gridCol w:w="1395"/>
        <w:gridCol w:w="1306"/>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分类</w:t>
            </w:r>
          </w:p>
        </w:tc>
        <w:tc>
          <w:tcPr>
            <w:tcW w:w="1890"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2"/>
                <w:szCs w:val="22"/>
                <w:u w:val="none"/>
                <w:lang w:val="en-US" w:eastAsia="zh-CN" w:bidi="ar"/>
              </w:rPr>
              <w:t>图号/编号</w:t>
            </w:r>
          </w:p>
        </w:tc>
        <w:tc>
          <w:tcPr>
            <w:tcW w:w="1500"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子物料名称</w:t>
            </w:r>
          </w:p>
        </w:tc>
        <w:tc>
          <w:tcPr>
            <w:tcW w:w="1365"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子物料型号</w:t>
            </w:r>
          </w:p>
        </w:tc>
        <w:tc>
          <w:tcPr>
            <w:tcW w:w="1425"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子物料规格</w:t>
            </w:r>
          </w:p>
        </w:tc>
        <w:tc>
          <w:tcPr>
            <w:tcW w:w="1395"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子物料品牌</w:t>
            </w:r>
          </w:p>
        </w:tc>
        <w:tc>
          <w:tcPr>
            <w:tcW w:w="1306"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子物料基本单位</w:t>
            </w:r>
          </w:p>
        </w:tc>
        <w:tc>
          <w:tcPr>
            <w:tcW w:w="690" w:type="dxa"/>
            <w:noWrap/>
            <w:vAlign w:val="center"/>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垂直输送机进出口过渡输送机</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G8017.01.01.01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G8017.01.01.02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40304000034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3PJ336</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远洋胶带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Driver Contral 20</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sz w:val="22"/>
                <w:szCs w:val="22"/>
                <w:highlight w:val="none"/>
                <w:u w:val="none"/>
              </w:rPr>
            </w:pPr>
            <w:r>
              <w:rPr>
                <w:rFonts w:hint="eastAsia" w:ascii="仿宋" w:hAnsi="仿宋" w:eastAsia="仿宋" w:cs="仿宋"/>
                <w:i w:val="0"/>
                <w:iCs w:val="0"/>
                <w:color w:val="FF0000"/>
                <w:kern w:val="0"/>
                <w:sz w:val="22"/>
                <w:szCs w:val="22"/>
                <w:highlight w:val="none"/>
                <w:u w:val="none"/>
                <w:lang w:val="en-US" w:eastAsia="zh-CN" w:bidi="ar"/>
              </w:rPr>
              <w:t>滚筒驱动卡</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1001415</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INTERROLL</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40301000382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弹力带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UU11(26-0)-N/聚氨酯TPU/黑色</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带宽500/内圈周长769.5/环带</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多楔带橡胶滚筒输送机</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G8016.01.01.01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G8016.01.01.02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40304000034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3PJ336</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远洋胶带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Driver Contral 20</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lang w:val="en-US" w:eastAsia="zh-CN" w:bidi="ar"/>
              </w:rPr>
              <w:t>滚筒驱动卡</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1001415</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INTERROLL</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G8016.02.01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锥形电动滚筒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5"/>
                <w:szCs w:val="15"/>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G8016.02.02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锥形滚筒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40304000042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多楔带</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2PJ256</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远洋胶带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垂直输送机（含曳引式提升机以及提升机内部输送线）</w:t>
            </w:r>
          </w:p>
        </w:tc>
        <w:tc>
          <w:tcPr>
            <w:tcW w:w="1890"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K559.07.01-01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钢丝绳及链条</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8*19S+IWRC-10-1570</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每米长</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40912000014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安全钳</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OX-210A</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每米高</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K561.10.03</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机架</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FF0000"/>
                <w:kern w:val="0"/>
                <w:sz w:val="22"/>
                <w:szCs w:val="22"/>
                <w:u w:val="none"/>
                <w:lang w:val="en-US" w:eastAsia="zh-CN" w:bidi="ar"/>
              </w:rPr>
              <w:t>焊接件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每米高</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K559.08-1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导轨</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T型导轨T75-3/B</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每米高</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40912000033</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导靴</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GDX01</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一套</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40911000146</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曳引机</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YJ140</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7.5kw/左置/卧式安装/曳引轮∅425*4*∅10*16</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通润驱动</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K561.05.02.01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端改向滚筒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K561.05.02.03</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焊接件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K561.05.02-09</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U22-34/33PDA</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L2020*W530*t2.6/永利</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40101000379</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SEW减速电机</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SA57DRE90L4/BE2</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P=1.5kw/i=23.20/M2/A出轴/∅30/接线盒180°/出线孔3/带刹车</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SEW</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40902000020</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工程塑料桥式托链</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EN2557*R55*2270/带固定块</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科瑞斯</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0"/>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40902000234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工程塑料桥式托链</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EN2557*R55*4670/带固定块</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中型箱</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40911000314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医院用物流箱</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材质PP</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蓝底黄盖/L600*W400*H350/双面丝印“英斯特”logo/详见附图</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富事达</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top"/>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40911000315</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医院用物流箱</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材质PP</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绿底黄盖/L600*W400*H350/双面丝印“英斯特”logo/详见附图</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富事达</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旋转台</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Q2255.03-01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电机带轮</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硬铝合金</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40102004998</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台邦减速电机</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6IK200GUS3M/ 6GU15RT/轴端带螺纹孔M6*15</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Q2255.04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驱动轴系</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Q2255.07</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改向滚筒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Q2255.08</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旋转机构</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40101000602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SEW减速电机</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SA47DR63S4/BR</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P=0.12kw/i=201/n=6.9/M6/接线盒90°/轴孔30</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SEW</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标准站点</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TS-100-50.8-502-1.2-12-1-1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包胶自由滚筒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40302000875</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圆弧齿同步带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橡胶</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565-5M-25 H5M型/Z=113</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T003419</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网链主动链轮</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MC1000 010 16 30</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84VVJAA6SL-540</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电动滚筒</w:t>
            </w:r>
          </w:p>
        </w:tc>
        <w:tc>
          <w:tcPr>
            <w:tcW w:w="136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套胶2mm厚深灰色PVC</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FF0000"/>
                <w:kern w:val="0"/>
                <w:sz w:val="22"/>
                <w:szCs w:val="22"/>
                <w:u w:val="none"/>
                <w:lang w:val="en-US" w:eastAsia="zh-CN" w:bidi="ar"/>
              </w:rPr>
              <w:t>Driver control 20</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电动滚筒驱动卡</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1001415</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INTERROLL</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40405000007</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网带链</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MC-1000-1</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W=510/PE高密度/浅蓝色/利生/140节</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上海利生</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防火门</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Q2252</w:t>
            </w:r>
          </w:p>
        </w:tc>
        <w:tc>
          <w:tcPr>
            <w:tcW w:w="1500" w:type="dxa"/>
            <w:shd w:val="clear" w:color="auto" w:fill="FFFFFF"/>
            <w:noWrap/>
            <w:vAlign w:val="top"/>
          </w:tcPr>
          <w:p>
            <w:pPr>
              <w:jc w:val="left"/>
              <w:rPr>
                <w:rFonts w:hint="eastAsia" w:ascii="仿宋" w:hAnsi="仿宋" w:eastAsia="仿宋" w:cs="仿宋"/>
                <w:i w:val="0"/>
                <w:iCs w:val="0"/>
                <w:color w:val="000000"/>
                <w:sz w:val="22"/>
                <w:szCs w:val="22"/>
                <w:u w:val="none"/>
              </w:rPr>
            </w:pPr>
            <w:r>
              <w:rPr>
                <w:rFonts w:hint="eastAsia" w:ascii="仿宋" w:hAnsi="仿宋" w:eastAsia="仿宋" w:cs="仿宋"/>
                <w:i w:val="0"/>
                <w:iCs w:val="0"/>
                <w:color w:val="FF0000"/>
                <w:kern w:val="0"/>
                <w:sz w:val="22"/>
                <w:szCs w:val="22"/>
                <w:u w:val="none"/>
                <w:lang w:val="en-US" w:eastAsia="zh-CN" w:bidi="ar"/>
              </w:rPr>
              <w:t>复合卷帘门</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W1800*H1500</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M²</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restart"/>
            <w:shd w:val="clear" w:color="auto" w:fill="FFFFFF"/>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PU带式输送机</w:t>
            </w: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P5887.01.01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端改向滚筒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20604000225</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带座轴承(GB/T7810)</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铸铁</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UCF205D1</w:t>
            </w: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NSK</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P5887.01.04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主动滚筒</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焊接件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P5887.01-04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P25-35/OD</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40102004971</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台邦减速电机</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6RK200-S3-MF/6GU-15-RC</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P5887.02.02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自由托辊</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组件</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40102004973</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电机刹车片</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6RK200-M</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台邦</w:t>
            </w: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FF0000"/>
                <w:kern w:val="2"/>
                <w:sz w:val="22"/>
                <w:szCs w:val="22"/>
                <w:u w:val="none"/>
                <w:lang w:val="en-US" w:eastAsia="zh-CN" w:bidi="ar-SA"/>
              </w:rPr>
            </w:pPr>
            <w:r>
              <w:rPr>
                <w:rFonts w:hint="eastAsia" w:ascii="仿宋" w:hAnsi="仿宋" w:eastAsia="仿宋" w:cs="仿宋"/>
                <w:i w:val="0"/>
                <w:iCs w:val="0"/>
                <w:color w:val="FF0000"/>
                <w:kern w:val="0"/>
                <w:sz w:val="22"/>
                <w:szCs w:val="22"/>
                <w:u w:val="none"/>
                <w:lang w:val="en-US" w:eastAsia="zh-CN" w:bidi="ar"/>
              </w:rPr>
              <w:t>Pcs</w:t>
            </w: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P5887.02-04</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P22-36/19D</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P5887.03-02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U22-34/33PDA</w:t>
            </w:r>
          </w:p>
        </w:tc>
        <w:tc>
          <w:tcPr>
            <w:tcW w:w="142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365" w:type="dxa"/>
            <w:vMerge w:val="continue"/>
            <w:shd w:val="clear" w:color="auto" w:fill="FFFFFF"/>
            <w:noWrap/>
            <w:vAlign w:val="center"/>
          </w:tcPr>
          <w:p>
            <w:pPr>
              <w:jc w:val="left"/>
              <w:rPr>
                <w:rFonts w:hint="eastAsia" w:ascii="仿宋" w:hAnsi="仿宋" w:eastAsia="仿宋" w:cs="仿宋"/>
                <w:i w:val="0"/>
                <w:iCs w:val="0"/>
                <w:color w:val="000000"/>
                <w:sz w:val="22"/>
                <w:szCs w:val="22"/>
                <w:u w:val="none"/>
              </w:rPr>
            </w:pPr>
          </w:p>
        </w:tc>
        <w:tc>
          <w:tcPr>
            <w:tcW w:w="189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P5887.04-02</w:t>
            </w:r>
          </w:p>
        </w:tc>
        <w:tc>
          <w:tcPr>
            <w:tcW w:w="1500"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皮带</w:t>
            </w:r>
          </w:p>
        </w:tc>
        <w:tc>
          <w:tcPr>
            <w:tcW w:w="136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U22-34/33PDA</w:t>
            </w:r>
          </w:p>
        </w:tc>
        <w:tc>
          <w:tcPr>
            <w:tcW w:w="1425"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见附图P5887.04-02</w:t>
            </w:r>
          </w:p>
        </w:tc>
        <w:tc>
          <w:tcPr>
            <w:tcW w:w="1395" w:type="dxa"/>
            <w:shd w:val="clear" w:color="auto" w:fill="FFFFFF"/>
            <w:noWrap/>
            <w:vAlign w:val="top"/>
          </w:tcPr>
          <w:p>
            <w:pPr>
              <w:jc w:val="left"/>
              <w:rPr>
                <w:rFonts w:hint="eastAsia" w:ascii="仿宋" w:hAnsi="仿宋" w:eastAsia="仿宋" w:cs="仿宋"/>
                <w:i w:val="0"/>
                <w:iCs w:val="0"/>
                <w:color w:val="000000"/>
                <w:sz w:val="22"/>
                <w:szCs w:val="22"/>
                <w:u w:val="none"/>
              </w:rPr>
            </w:pPr>
          </w:p>
        </w:tc>
        <w:tc>
          <w:tcPr>
            <w:tcW w:w="1306" w:type="dxa"/>
            <w:shd w:val="clear" w:color="auto" w:fill="FFFFFF"/>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p>
        </w:tc>
        <w:tc>
          <w:tcPr>
            <w:tcW w:w="690"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365" w:type="dxa"/>
            <w:noWrap/>
            <w:vAlign w:val="top"/>
          </w:tcPr>
          <w:p>
            <w:pPr>
              <w:rPr>
                <w:rFonts w:hint="eastAsia" w:ascii="仿宋" w:hAnsi="仿宋" w:eastAsia="仿宋" w:cs="仿宋"/>
                <w:i w:val="0"/>
                <w:iCs w:val="0"/>
                <w:color w:val="000000"/>
                <w:sz w:val="18"/>
                <w:szCs w:val="18"/>
                <w:u w:val="none"/>
              </w:rPr>
            </w:pPr>
          </w:p>
        </w:tc>
        <w:tc>
          <w:tcPr>
            <w:tcW w:w="1890" w:type="dxa"/>
            <w:noWrap/>
            <w:vAlign w:val="top"/>
          </w:tcPr>
          <w:p>
            <w:pPr>
              <w:jc w:val="left"/>
              <w:rPr>
                <w:rFonts w:hint="eastAsia" w:ascii="仿宋" w:hAnsi="仿宋" w:eastAsia="仿宋" w:cs="仿宋"/>
                <w:i w:val="0"/>
                <w:iCs w:val="0"/>
                <w:color w:val="000000"/>
                <w:sz w:val="18"/>
                <w:szCs w:val="18"/>
                <w:u w:val="none"/>
              </w:rPr>
            </w:pPr>
          </w:p>
        </w:tc>
        <w:tc>
          <w:tcPr>
            <w:tcW w:w="1500" w:type="dxa"/>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轴承</w:t>
            </w:r>
          </w:p>
        </w:tc>
        <w:tc>
          <w:tcPr>
            <w:tcW w:w="1365" w:type="dxa"/>
            <w:noWrap/>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(GB/T276)</w:t>
            </w:r>
          </w:p>
        </w:tc>
        <w:tc>
          <w:tcPr>
            <w:tcW w:w="1425" w:type="dxa"/>
            <w:noWrap/>
            <w:vAlign w:val="top"/>
          </w:tcPr>
          <w:p>
            <w:pPr>
              <w:rPr>
                <w:rFonts w:hint="eastAsia" w:ascii="仿宋" w:hAnsi="仿宋" w:eastAsia="仿宋" w:cs="仿宋"/>
                <w:i w:val="0"/>
                <w:iCs w:val="0"/>
                <w:color w:val="000000"/>
                <w:sz w:val="18"/>
                <w:szCs w:val="18"/>
                <w:u w:val="none"/>
              </w:rPr>
            </w:pPr>
          </w:p>
        </w:tc>
        <w:tc>
          <w:tcPr>
            <w:tcW w:w="1395" w:type="dxa"/>
            <w:noWrap/>
            <w:vAlign w:val="top"/>
          </w:tcPr>
          <w:p>
            <w:pPr>
              <w:rPr>
                <w:rFonts w:hint="eastAsia" w:ascii="仿宋" w:hAnsi="仿宋" w:eastAsia="仿宋" w:cs="仿宋"/>
                <w:i w:val="0"/>
                <w:iCs w:val="0"/>
                <w:color w:val="000000"/>
                <w:sz w:val="18"/>
                <w:szCs w:val="18"/>
                <w:u w:val="none"/>
              </w:rPr>
            </w:pPr>
          </w:p>
        </w:tc>
        <w:tc>
          <w:tcPr>
            <w:tcW w:w="1306" w:type="dxa"/>
            <w:noWrap/>
            <w:vAlign w:val="top"/>
          </w:tcPr>
          <w:p>
            <w:pPr>
              <w:rPr>
                <w:rFonts w:hint="eastAsia" w:ascii="仿宋" w:hAnsi="仿宋" w:eastAsia="仿宋" w:cs="仿宋"/>
                <w:i w:val="0"/>
                <w:iCs w:val="0"/>
                <w:color w:val="000000"/>
                <w:sz w:val="18"/>
                <w:szCs w:val="18"/>
                <w:u w:val="none"/>
              </w:rPr>
            </w:pPr>
          </w:p>
        </w:tc>
        <w:tc>
          <w:tcPr>
            <w:tcW w:w="690" w:type="dxa"/>
            <w:noWrap/>
            <w:vAlign w:val="top"/>
          </w:tcPr>
          <w:p>
            <w:pPr>
              <w:rPr>
                <w:rFonts w:hint="eastAsia" w:ascii="仿宋" w:hAnsi="仿宋" w:eastAsia="仿宋" w:cs="仿宋"/>
                <w:i w:val="0"/>
                <w:iCs w:val="0"/>
                <w:color w:val="000000"/>
                <w:sz w:val="18"/>
                <w:szCs w:val="18"/>
                <w:u w:val="none"/>
              </w:rPr>
            </w:pPr>
          </w:p>
        </w:tc>
      </w:tr>
    </w:tbl>
    <w:p>
      <w:pPr>
        <w:tabs>
          <w:tab w:val="left" w:pos="4007"/>
        </w:tabs>
        <w:bidi w:val="0"/>
        <w:jc w:val="left"/>
        <w:rPr>
          <w:rFonts w:hint="default" w:ascii="Calibri" w:hAnsi="Calibri" w:eastAsia="宋体" w:cs="Times New Roman"/>
          <w:sz w:val="28"/>
          <w:szCs w:val="28"/>
          <w:lang w:val="en-US" w:eastAsia="zh-CN"/>
        </w:rPr>
      </w:pPr>
    </w:p>
    <w:p>
      <w:pPr>
        <w:tabs>
          <w:tab w:val="left" w:pos="1875"/>
        </w:tabs>
      </w:pPr>
    </w:p>
    <w:sectPr>
      <w:footerReference r:id="rId3"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37</w:t>
    </w:r>
    <w:r>
      <w:rPr>
        <w:rStyle w:val="55"/>
      </w:rPr>
      <w:fldChar w:fldCharType="end"/>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16CE91"/>
    <w:multiLevelType w:val="singleLevel"/>
    <w:tmpl w:val="9A16CE91"/>
    <w:lvl w:ilvl="0" w:tentative="0">
      <w:start w:val="1"/>
      <w:numFmt w:val="decimal"/>
      <w:lvlText w:val="%1."/>
      <w:lvlJc w:val="left"/>
      <w:pPr>
        <w:ind w:left="425" w:hanging="425"/>
      </w:pPr>
      <w:rPr>
        <w:rFonts w:hint="default"/>
      </w:rPr>
    </w:lvl>
  </w:abstractNum>
  <w:abstractNum w:abstractNumId="1">
    <w:nsid w:val="CB90ECEA"/>
    <w:multiLevelType w:val="singleLevel"/>
    <w:tmpl w:val="CB90ECEA"/>
    <w:lvl w:ilvl="0" w:tentative="0">
      <w:start w:val="1"/>
      <w:numFmt w:val="decimal"/>
      <w:suff w:val="nothing"/>
      <w:lvlText w:val="%1．"/>
      <w:lvlJc w:val="left"/>
      <w:pPr>
        <w:ind w:left="0" w:firstLine="400"/>
      </w:pPr>
      <w:rPr>
        <w:rFonts w:hint="default"/>
      </w:rPr>
    </w:lvl>
  </w:abstractNum>
  <w:abstractNum w:abstractNumId="2">
    <w:nsid w:val="D55B174E"/>
    <w:multiLevelType w:val="singleLevel"/>
    <w:tmpl w:val="D55B174E"/>
    <w:lvl w:ilvl="0" w:tentative="0">
      <w:start w:val="1"/>
      <w:numFmt w:val="decimal"/>
      <w:suff w:val="nothing"/>
      <w:lvlText w:val="%1、"/>
      <w:lvlJc w:val="left"/>
    </w:lvl>
  </w:abstractNum>
  <w:abstractNum w:abstractNumId="3">
    <w:nsid w:val="D67B5709"/>
    <w:multiLevelType w:val="singleLevel"/>
    <w:tmpl w:val="D67B5709"/>
    <w:lvl w:ilvl="0" w:tentative="0">
      <w:start w:val="1"/>
      <w:numFmt w:val="chineseCounting"/>
      <w:suff w:val="nothing"/>
      <w:lvlText w:val="%1、"/>
      <w:lvlJc w:val="left"/>
      <w:rPr>
        <w:rFonts w:hint="eastAsia"/>
      </w:rPr>
    </w:lvl>
  </w:abstractNum>
  <w:abstractNum w:abstractNumId="4">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5">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E56BE28"/>
    <w:multiLevelType w:val="singleLevel"/>
    <w:tmpl w:val="0E56BE28"/>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00172A27"/>
    <w:rsid w:val="0000134D"/>
    <w:rsid w:val="00001F1C"/>
    <w:rsid w:val="000036D6"/>
    <w:rsid w:val="00003A46"/>
    <w:rsid w:val="000042A3"/>
    <w:rsid w:val="000045B3"/>
    <w:rsid w:val="00004752"/>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A6E"/>
    <w:rsid w:val="00012BC4"/>
    <w:rsid w:val="00012F7F"/>
    <w:rsid w:val="00012F81"/>
    <w:rsid w:val="00014515"/>
    <w:rsid w:val="000145C2"/>
    <w:rsid w:val="00014625"/>
    <w:rsid w:val="00014DBB"/>
    <w:rsid w:val="00015940"/>
    <w:rsid w:val="00015AF5"/>
    <w:rsid w:val="00016458"/>
    <w:rsid w:val="000165EF"/>
    <w:rsid w:val="00016FC3"/>
    <w:rsid w:val="0001728F"/>
    <w:rsid w:val="000208F8"/>
    <w:rsid w:val="00021304"/>
    <w:rsid w:val="0002197F"/>
    <w:rsid w:val="00022C27"/>
    <w:rsid w:val="00022F4F"/>
    <w:rsid w:val="00022FA9"/>
    <w:rsid w:val="000237EE"/>
    <w:rsid w:val="00025B21"/>
    <w:rsid w:val="00025D5B"/>
    <w:rsid w:val="00026249"/>
    <w:rsid w:val="00027415"/>
    <w:rsid w:val="000274F7"/>
    <w:rsid w:val="00027757"/>
    <w:rsid w:val="000307C5"/>
    <w:rsid w:val="00030D77"/>
    <w:rsid w:val="00031887"/>
    <w:rsid w:val="000319D1"/>
    <w:rsid w:val="00034043"/>
    <w:rsid w:val="0003479B"/>
    <w:rsid w:val="00034900"/>
    <w:rsid w:val="0003493D"/>
    <w:rsid w:val="0003524E"/>
    <w:rsid w:val="000356F7"/>
    <w:rsid w:val="00035FE0"/>
    <w:rsid w:val="000367ED"/>
    <w:rsid w:val="0003688B"/>
    <w:rsid w:val="000372E9"/>
    <w:rsid w:val="00037359"/>
    <w:rsid w:val="0003762A"/>
    <w:rsid w:val="0003795A"/>
    <w:rsid w:val="00042758"/>
    <w:rsid w:val="00043D2B"/>
    <w:rsid w:val="000447F6"/>
    <w:rsid w:val="00045923"/>
    <w:rsid w:val="00045EB5"/>
    <w:rsid w:val="00046595"/>
    <w:rsid w:val="0004741F"/>
    <w:rsid w:val="00047612"/>
    <w:rsid w:val="00047852"/>
    <w:rsid w:val="00050F73"/>
    <w:rsid w:val="00051378"/>
    <w:rsid w:val="000529DE"/>
    <w:rsid w:val="00053074"/>
    <w:rsid w:val="00053F8F"/>
    <w:rsid w:val="000545F7"/>
    <w:rsid w:val="00054837"/>
    <w:rsid w:val="000550A3"/>
    <w:rsid w:val="0005526E"/>
    <w:rsid w:val="000558BB"/>
    <w:rsid w:val="000559C9"/>
    <w:rsid w:val="00055C5F"/>
    <w:rsid w:val="00056061"/>
    <w:rsid w:val="00056374"/>
    <w:rsid w:val="0005650D"/>
    <w:rsid w:val="00056617"/>
    <w:rsid w:val="00057655"/>
    <w:rsid w:val="00057EEA"/>
    <w:rsid w:val="00060526"/>
    <w:rsid w:val="00061C10"/>
    <w:rsid w:val="000621B0"/>
    <w:rsid w:val="00062570"/>
    <w:rsid w:val="0006264D"/>
    <w:rsid w:val="0006301D"/>
    <w:rsid w:val="00064787"/>
    <w:rsid w:val="00064A61"/>
    <w:rsid w:val="00064FA4"/>
    <w:rsid w:val="00065240"/>
    <w:rsid w:val="00066813"/>
    <w:rsid w:val="000668F4"/>
    <w:rsid w:val="0006745C"/>
    <w:rsid w:val="00067D3F"/>
    <w:rsid w:val="00067DC4"/>
    <w:rsid w:val="000700C5"/>
    <w:rsid w:val="00070384"/>
    <w:rsid w:val="00071507"/>
    <w:rsid w:val="0007211D"/>
    <w:rsid w:val="000730F3"/>
    <w:rsid w:val="00073A35"/>
    <w:rsid w:val="00073B23"/>
    <w:rsid w:val="00073EE2"/>
    <w:rsid w:val="00074554"/>
    <w:rsid w:val="00074BEF"/>
    <w:rsid w:val="00075AD5"/>
    <w:rsid w:val="00077E93"/>
    <w:rsid w:val="00080168"/>
    <w:rsid w:val="00080188"/>
    <w:rsid w:val="00080A90"/>
    <w:rsid w:val="00081B06"/>
    <w:rsid w:val="000820E6"/>
    <w:rsid w:val="000825F6"/>
    <w:rsid w:val="00082956"/>
    <w:rsid w:val="000829FF"/>
    <w:rsid w:val="00082ABE"/>
    <w:rsid w:val="00083D3F"/>
    <w:rsid w:val="00083E84"/>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127F"/>
    <w:rsid w:val="0009133A"/>
    <w:rsid w:val="0009145A"/>
    <w:rsid w:val="00091526"/>
    <w:rsid w:val="0009187B"/>
    <w:rsid w:val="00091CAC"/>
    <w:rsid w:val="00092BD5"/>
    <w:rsid w:val="00095198"/>
    <w:rsid w:val="00095806"/>
    <w:rsid w:val="00095F61"/>
    <w:rsid w:val="000965CC"/>
    <w:rsid w:val="00096CE6"/>
    <w:rsid w:val="00097B04"/>
    <w:rsid w:val="000A0ABE"/>
    <w:rsid w:val="000A0DC0"/>
    <w:rsid w:val="000A1075"/>
    <w:rsid w:val="000A24AF"/>
    <w:rsid w:val="000A274D"/>
    <w:rsid w:val="000A2C52"/>
    <w:rsid w:val="000A2D79"/>
    <w:rsid w:val="000A3358"/>
    <w:rsid w:val="000A4B0E"/>
    <w:rsid w:val="000A530C"/>
    <w:rsid w:val="000A584E"/>
    <w:rsid w:val="000A58B9"/>
    <w:rsid w:val="000A5A8E"/>
    <w:rsid w:val="000A5CD4"/>
    <w:rsid w:val="000A6263"/>
    <w:rsid w:val="000A6F16"/>
    <w:rsid w:val="000A7A6C"/>
    <w:rsid w:val="000A7C5A"/>
    <w:rsid w:val="000B0205"/>
    <w:rsid w:val="000B0817"/>
    <w:rsid w:val="000B10D9"/>
    <w:rsid w:val="000B1ED2"/>
    <w:rsid w:val="000B20FC"/>
    <w:rsid w:val="000B3202"/>
    <w:rsid w:val="000B493E"/>
    <w:rsid w:val="000B4F60"/>
    <w:rsid w:val="000B5B6D"/>
    <w:rsid w:val="000B5CC8"/>
    <w:rsid w:val="000B5DFC"/>
    <w:rsid w:val="000B61BF"/>
    <w:rsid w:val="000B620E"/>
    <w:rsid w:val="000B67E1"/>
    <w:rsid w:val="000B7DD3"/>
    <w:rsid w:val="000C1B95"/>
    <w:rsid w:val="000C299D"/>
    <w:rsid w:val="000C3573"/>
    <w:rsid w:val="000C3B21"/>
    <w:rsid w:val="000C3E67"/>
    <w:rsid w:val="000C428C"/>
    <w:rsid w:val="000C4328"/>
    <w:rsid w:val="000C43F5"/>
    <w:rsid w:val="000C48DA"/>
    <w:rsid w:val="000C605A"/>
    <w:rsid w:val="000C63AE"/>
    <w:rsid w:val="000C712D"/>
    <w:rsid w:val="000C7685"/>
    <w:rsid w:val="000D0769"/>
    <w:rsid w:val="000D0C86"/>
    <w:rsid w:val="000D0C91"/>
    <w:rsid w:val="000D1EAF"/>
    <w:rsid w:val="000D2C8E"/>
    <w:rsid w:val="000D2CA8"/>
    <w:rsid w:val="000D3909"/>
    <w:rsid w:val="000D39D7"/>
    <w:rsid w:val="000D3DAF"/>
    <w:rsid w:val="000D48D5"/>
    <w:rsid w:val="000D6088"/>
    <w:rsid w:val="000D6CFF"/>
    <w:rsid w:val="000D6D74"/>
    <w:rsid w:val="000D6F21"/>
    <w:rsid w:val="000D75EC"/>
    <w:rsid w:val="000D7803"/>
    <w:rsid w:val="000D7D8E"/>
    <w:rsid w:val="000D7DC6"/>
    <w:rsid w:val="000E024C"/>
    <w:rsid w:val="000E18B0"/>
    <w:rsid w:val="000E1BD5"/>
    <w:rsid w:val="000E214A"/>
    <w:rsid w:val="000E21D9"/>
    <w:rsid w:val="000E2823"/>
    <w:rsid w:val="000E3219"/>
    <w:rsid w:val="000E321B"/>
    <w:rsid w:val="000E3D76"/>
    <w:rsid w:val="000E4186"/>
    <w:rsid w:val="000E52FA"/>
    <w:rsid w:val="000E6437"/>
    <w:rsid w:val="000E64F6"/>
    <w:rsid w:val="000E6981"/>
    <w:rsid w:val="000F06E7"/>
    <w:rsid w:val="000F0B03"/>
    <w:rsid w:val="000F0BDA"/>
    <w:rsid w:val="000F0D6F"/>
    <w:rsid w:val="000F150F"/>
    <w:rsid w:val="000F1EDD"/>
    <w:rsid w:val="000F243B"/>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417"/>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ECC"/>
    <w:rsid w:val="001151A9"/>
    <w:rsid w:val="00115CCC"/>
    <w:rsid w:val="00115E6A"/>
    <w:rsid w:val="0012030F"/>
    <w:rsid w:val="00120AB4"/>
    <w:rsid w:val="00120BE1"/>
    <w:rsid w:val="0012174B"/>
    <w:rsid w:val="00121A55"/>
    <w:rsid w:val="00121C20"/>
    <w:rsid w:val="00121DE5"/>
    <w:rsid w:val="00123367"/>
    <w:rsid w:val="00123AC2"/>
    <w:rsid w:val="00123EA6"/>
    <w:rsid w:val="00123F89"/>
    <w:rsid w:val="00124113"/>
    <w:rsid w:val="00124206"/>
    <w:rsid w:val="0012537B"/>
    <w:rsid w:val="0012558C"/>
    <w:rsid w:val="0012714F"/>
    <w:rsid w:val="00127915"/>
    <w:rsid w:val="00130693"/>
    <w:rsid w:val="00130801"/>
    <w:rsid w:val="00130A8C"/>
    <w:rsid w:val="001310AA"/>
    <w:rsid w:val="00132670"/>
    <w:rsid w:val="001328E9"/>
    <w:rsid w:val="00132C2F"/>
    <w:rsid w:val="00133E88"/>
    <w:rsid w:val="0013411A"/>
    <w:rsid w:val="001349F3"/>
    <w:rsid w:val="00136615"/>
    <w:rsid w:val="00136BA5"/>
    <w:rsid w:val="00137077"/>
    <w:rsid w:val="00137241"/>
    <w:rsid w:val="00137B1E"/>
    <w:rsid w:val="00137BBA"/>
    <w:rsid w:val="001403D0"/>
    <w:rsid w:val="00141229"/>
    <w:rsid w:val="00141E96"/>
    <w:rsid w:val="00142681"/>
    <w:rsid w:val="00142BD9"/>
    <w:rsid w:val="00143392"/>
    <w:rsid w:val="001438E5"/>
    <w:rsid w:val="00143AB1"/>
    <w:rsid w:val="00143D73"/>
    <w:rsid w:val="00143EA2"/>
    <w:rsid w:val="001448C4"/>
    <w:rsid w:val="0014619B"/>
    <w:rsid w:val="001467AB"/>
    <w:rsid w:val="001468DA"/>
    <w:rsid w:val="00146AE2"/>
    <w:rsid w:val="00146D8F"/>
    <w:rsid w:val="00146E88"/>
    <w:rsid w:val="00147B19"/>
    <w:rsid w:val="00150618"/>
    <w:rsid w:val="00150E64"/>
    <w:rsid w:val="00151766"/>
    <w:rsid w:val="0015247A"/>
    <w:rsid w:val="00152F39"/>
    <w:rsid w:val="00153226"/>
    <w:rsid w:val="00153918"/>
    <w:rsid w:val="001547E1"/>
    <w:rsid w:val="00154F74"/>
    <w:rsid w:val="00155460"/>
    <w:rsid w:val="00156E27"/>
    <w:rsid w:val="001570A5"/>
    <w:rsid w:val="001571E8"/>
    <w:rsid w:val="0015749F"/>
    <w:rsid w:val="001579EF"/>
    <w:rsid w:val="00160375"/>
    <w:rsid w:val="00160D4E"/>
    <w:rsid w:val="00160F50"/>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789"/>
    <w:rsid w:val="00167927"/>
    <w:rsid w:val="0017073E"/>
    <w:rsid w:val="00170C17"/>
    <w:rsid w:val="0017173E"/>
    <w:rsid w:val="00171CA3"/>
    <w:rsid w:val="00171E66"/>
    <w:rsid w:val="001722D8"/>
    <w:rsid w:val="00172A27"/>
    <w:rsid w:val="00172AE3"/>
    <w:rsid w:val="00172C34"/>
    <w:rsid w:val="00173149"/>
    <w:rsid w:val="00173759"/>
    <w:rsid w:val="001739A3"/>
    <w:rsid w:val="00173D26"/>
    <w:rsid w:val="00174B1E"/>
    <w:rsid w:val="001755E9"/>
    <w:rsid w:val="00175A5E"/>
    <w:rsid w:val="00176553"/>
    <w:rsid w:val="00177212"/>
    <w:rsid w:val="001774D4"/>
    <w:rsid w:val="00177549"/>
    <w:rsid w:val="00177744"/>
    <w:rsid w:val="001778BE"/>
    <w:rsid w:val="00177F89"/>
    <w:rsid w:val="00180B0D"/>
    <w:rsid w:val="00181FEA"/>
    <w:rsid w:val="00182706"/>
    <w:rsid w:val="0018284B"/>
    <w:rsid w:val="00183836"/>
    <w:rsid w:val="001845E9"/>
    <w:rsid w:val="00184630"/>
    <w:rsid w:val="001846D7"/>
    <w:rsid w:val="00184815"/>
    <w:rsid w:val="001848F5"/>
    <w:rsid w:val="001850A4"/>
    <w:rsid w:val="001864FF"/>
    <w:rsid w:val="00187AE3"/>
    <w:rsid w:val="00187B3E"/>
    <w:rsid w:val="0019153B"/>
    <w:rsid w:val="001915A3"/>
    <w:rsid w:val="001919EB"/>
    <w:rsid w:val="00191B94"/>
    <w:rsid w:val="0019227B"/>
    <w:rsid w:val="00192D08"/>
    <w:rsid w:val="0019368B"/>
    <w:rsid w:val="001938D2"/>
    <w:rsid w:val="00193917"/>
    <w:rsid w:val="001941C8"/>
    <w:rsid w:val="00195B8B"/>
    <w:rsid w:val="00195DCB"/>
    <w:rsid w:val="00195F14"/>
    <w:rsid w:val="001961A2"/>
    <w:rsid w:val="00196787"/>
    <w:rsid w:val="00196B4C"/>
    <w:rsid w:val="001970AD"/>
    <w:rsid w:val="00197204"/>
    <w:rsid w:val="001A173C"/>
    <w:rsid w:val="001A1844"/>
    <w:rsid w:val="001A1998"/>
    <w:rsid w:val="001A1BE9"/>
    <w:rsid w:val="001A20CA"/>
    <w:rsid w:val="001A2B9F"/>
    <w:rsid w:val="001A3B13"/>
    <w:rsid w:val="001A3CF6"/>
    <w:rsid w:val="001A3EE7"/>
    <w:rsid w:val="001A4420"/>
    <w:rsid w:val="001A46F2"/>
    <w:rsid w:val="001A68EC"/>
    <w:rsid w:val="001A6C49"/>
    <w:rsid w:val="001A7C91"/>
    <w:rsid w:val="001B0220"/>
    <w:rsid w:val="001B0850"/>
    <w:rsid w:val="001B1281"/>
    <w:rsid w:val="001B1D39"/>
    <w:rsid w:val="001B2126"/>
    <w:rsid w:val="001B23F5"/>
    <w:rsid w:val="001B2666"/>
    <w:rsid w:val="001B2A31"/>
    <w:rsid w:val="001B2D49"/>
    <w:rsid w:val="001B5B42"/>
    <w:rsid w:val="001B606A"/>
    <w:rsid w:val="001B6DDB"/>
    <w:rsid w:val="001B7078"/>
    <w:rsid w:val="001B7491"/>
    <w:rsid w:val="001B75CF"/>
    <w:rsid w:val="001B7A8D"/>
    <w:rsid w:val="001B7EBE"/>
    <w:rsid w:val="001C06C0"/>
    <w:rsid w:val="001C10E5"/>
    <w:rsid w:val="001C1A12"/>
    <w:rsid w:val="001C1D46"/>
    <w:rsid w:val="001C1F6C"/>
    <w:rsid w:val="001C21BB"/>
    <w:rsid w:val="001C3000"/>
    <w:rsid w:val="001C30D1"/>
    <w:rsid w:val="001C33D6"/>
    <w:rsid w:val="001C35B7"/>
    <w:rsid w:val="001C36F7"/>
    <w:rsid w:val="001C3AE0"/>
    <w:rsid w:val="001C3BAD"/>
    <w:rsid w:val="001C4DF2"/>
    <w:rsid w:val="001C5F9A"/>
    <w:rsid w:val="001C7E49"/>
    <w:rsid w:val="001D012D"/>
    <w:rsid w:val="001D0702"/>
    <w:rsid w:val="001D0A25"/>
    <w:rsid w:val="001D1078"/>
    <w:rsid w:val="001D1659"/>
    <w:rsid w:val="001D296C"/>
    <w:rsid w:val="001D2F3D"/>
    <w:rsid w:val="001D33B5"/>
    <w:rsid w:val="001D33C3"/>
    <w:rsid w:val="001D3DED"/>
    <w:rsid w:val="001D3DF8"/>
    <w:rsid w:val="001D3F8A"/>
    <w:rsid w:val="001D4E6F"/>
    <w:rsid w:val="001D5573"/>
    <w:rsid w:val="001D56C8"/>
    <w:rsid w:val="001D5E80"/>
    <w:rsid w:val="001D6356"/>
    <w:rsid w:val="001D6EC3"/>
    <w:rsid w:val="001D710C"/>
    <w:rsid w:val="001E0886"/>
    <w:rsid w:val="001E11B1"/>
    <w:rsid w:val="001E208F"/>
    <w:rsid w:val="001E233C"/>
    <w:rsid w:val="001E4950"/>
    <w:rsid w:val="001E5014"/>
    <w:rsid w:val="001E630A"/>
    <w:rsid w:val="001E7838"/>
    <w:rsid w:val="001E7A22"/>
    <w:rsid w:val="001E7D19"/>
    <w:rsid w:val="001F0CFA"/>
    <w:rsid w:val="001F1464"/>
    <w:rsid w:val="001F1905"/>
    <w:rsid w:val="001F1EAE"/>
    <w:rsid w:val="001F1F7F"/>
    <w:rsid w:val="001F2C63"/>
    <w:rsid w:val="001F2E14"/>
    <w:rsid w:val="001F37E0"/>
    <w:rsid w:val="001F3A0C"/>
    <w:rsid w:val="001F3E7F"/>
    <w:rsid w:val="001F401A"/>
    <w:rsid w:val="001F4A76"/>
    <w:rsid w:val="001F4F4A"/>
    <w:rsid w:val="001F534F"/>
    <w:rsid w:val="001F543D"/>
    <w:rsid w:val="001F56BD"/>
    <w:rsid w:val="001F5813"/>
    <w:rsid w:val="001F5989"/>
    <w:rsid w:val="001F64C1"/>
    <w:rsid w:val="002001F1"/>
    <w:rsid w:val="00201348"/>
    <w:rsid w:val="00201A4E"/>
    <w:rsid w:val="00201C8A"/>
    <w:rsid w:val="00202525"/>
    <w:rsid w:val="00202B43"/>
    <w:rsid w:val="002035A2"/>
    <w:rsid w:val="00203787"/>
    <w:rsid w:val="00203887"/>
    <w:rsid w:val="002046D6"/>
    <w:rsid w:val="00204D09"/>
    <w:rsid w:val="00204F5C"/>
    <w:rsid w:val="00205C71"/>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DBF"/>
    <w:rsid w:val="0022435D"/>
    <w:rsid w:val="0022442C"/>
    <w:rsid w:val="002245B1"/>
    <w:rsid w:val="00224A1D"/>
    <w:rsid w:val="00224BA5"/>
    <w:rsid w:val="00225340"/>
    <w:rsid w:val="002259D7"/>
    <w:rsid w:val="002269FF"/>
    <w:rsid w:val="002274F2"/>
    <w:rsid w:val="00227BE4"/>
    <w:rsid w:val="002303B3"/>
    <w:rsid w:val="00230D0C"/>
    <w:rsid w:val="00230EA4"/>
    <w:rsid w:val="0023207C"/>
    <w:rsid w:val="0023316C"/>
    <w:rsid w:val="00233EA8"/>
    <w:rsid w:val="00233EE9"/>
    <w:rsid w:val="002344D9"/>
    <w:rsid w:val="00235237"/>
    <w:rsid w:val="00235CCD"/>
    <w:rsid w:val="0023602F"/>
    <w:rsid w:val="00236048"/>
    <w:rsid w:val="002362ED"/>
    <w:rsid w:val="00237036"/>
    <w:rsid w:val="002372AC"/>
    <w:rsid w:val="00237A33"/>
    <w:rsid w:val="00237F7F"/>
    <w:rsid w:val="002402E8"/>
    <w:rsid w:val="00240B0F"/>
    <w:rsid w:val="00240CF2"/>
    <w:rsid w:val="00240E54"/>
    <w:rsid w:val="00241314"/>
    <w:rsid w:val="00241BD9"/>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506EE"/>
    <w:rsid w:val="00250E42"/>
    <w:rsid w:val="00250E89"/>
    <w:rsid w:val="00252912"/>
    <w:rsid w:val="00252D49"/>
    <w:rsid w:val="00253956"/>
    <w:rsid w:val="00253C51"/>
    <w:rsid w:val="002548D3"/>
    <w:rsid w:val="00254E85"/>
    <w:rsid w:val="0025568B"/>
    <w:rsid w:val="002561B7"/>
    <w:rsid w:val="00256EDB"/>
    <w:rsid w:val="00256FEA"/>
    <w:rsid w:val="00257131"/>
    <w:rsid w:val="0025733E"/>
    <w:rsid w:val="00257995"/>
    <w:rsid w:val="00257F6B"/>
    <w:rsid w:val="00261B4C"/>
    <w:rsid w:val="00261C50"/>
    <w:rsid w:val="00261C71"/>
    <w:rsid w:val="00261E06"/>
    <w:rsid w:val="0026249A"/>
    <w:rsid w:val="002625B4"/>
    <w:rsid w:val="00263090"/>
    <w:rsid w:val="00263146"/>
    <w:rsid w:val="00264D98"/>
    <w:rsid w:val="00265054"/>
    <w:rsid w:val="0026523F"/>
    <w:rsid w:val="0026696D"/>
    <w:rsid w:val="00266BE6"/>
    <w:rsid w:val="00267127"/>
    <w:rsid w:val="00267325"/>
    <w:rsid w:val="002674F1"/>
    <w:rsid w:val="00267935"/>
    <w:rsid w:val="00270B8F"/>
    <w:rsid w:val="00271B39"/>
    <w:rsid w:val="00271C92"/>
    <w:rsid w:val="0027280E"/>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242D"/>
    <w:rsid w:val="00282D45"/>
    <w:rsid w:val="00283253"/>
    <w:rsid w:val="002836C6"/>
    <w:rsid w:val="0028615B"/>
    <w:rsid w:val="00286DFC"/>
    <w:rsid w:val="00287102"/>
    <w:rsid w:val="00290002"/>
    <w:rsid w:val="0029069C"/>
    <w:rsid w:val="0029244F"/>
    <w:rsid w:val="00293B82"/>
    <w:rsid w:val="00293DA4"/>
    <w:rsid w:val="002965D8"/>
    <w:rsid w:val="002A0381"/>
    <w:rsid w:val="002A0425"/>
    <w:rsid w:val="002A0651"/>
    <w:rsid w:val="002A06BD"/>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5AB"/>
    <w:rsid w:val="002C588A"/>
    <w:rsid w:val="002C5EEF"/>
    <w:rsid w:val="002C6527"/>
    <w:rsid w:val="002D0724"/>
    <w:rsid w:val="002D13DF"/>
    <w:rsid w:val="002D3B6B"/>
    <w:rsid w:val="002D41A4"/>
    <w:rsid w:val="002D603D"/>
    <w:rsid w:val="002E00AD"/>
    <w:rsid w:val="002E032F"/>
    <w:rsid w:val="002E075F"/>
    <w:rsid w:val="002E08C1"/>
    <w:rsid w:val="002E0B56"/>
    <w:rsid w:val="002E0B5D"/>
    <w:rsid w:val="002E1192"/>
    <w:rsid w:val="002E1650"/>
    <w:rsid w:val="002E1DA6"/>
    <w:rsid w:val="002E214F"/>
    <w:rsid w:val="002E24BD"/>
    <w:rsid w:val="002E3C98"/>
    <w:rsid w:val="002E4681"/>
    <w:rsid w:val="002E4D51"/>
    <w:rsid w:val="002E5619"/>
    <w:rsid w:val="002E57C9"/>
    <w:rsid w:val="002E6371"/>
    <w:rsid w:val="002E6A58"/>
    <w:rsid w:val="002E6D98"/>
    <w:rsid w:val="002E7881"/>
    <w:rsid w:val="002E7975"/>
    <w:rsid w:val="002E7A31"/>
    <w:rsid w:val="002F01F2"/>
    <w:rsid w:val="002F1103"/>
    <w:rsid w:val="002F11D5"/>
    <w:rsid w:val="002F21EF"/>
    <w:rsid w:val="002F2741"/>
    <w:rsid w:val="002F2B63"/>
    <w:rsid w:val="002F3765"/>
    <w:rsid w:val="002F3F28"/>
    <w:rsid w:val="002F44A0"/>
    <w:rsid w:val="002F471C"/>
    <w:rsid w:val="002F4F44"/>
    <w:rsid w:val="002F50DA"/>
    <w:rsid w:val="002F56B1"/>
    <w:rsid w:val="002F584B"/>
    <w:rsid w:val="002F5EEE"/>
    <w:rsid w:val="002F5FC3"/>
    <w:rsid w:val="002F6A39"/>
    <w:rsid w:val="002F6EF2"/>
    <w:rsid w:val="002F79E2"/>
    <w:rsid w:val="002F7D39"/>
    <w:rsid w:val="002F7E8D"/>
    <w:rsid w:val="003022E5"/>
    <w:rsid w:val="00302461"/>
    <w:rsid w:val="00302899"/>
    <w:rsid w:val="00302A04"/>
    <w:rsid w:val="003033D9"/>
    <w:rsid w:val="00303C85"/>
    <w:rsid w:val="00303F98"/>
    <w:rsid w:val="00304338"/>
    <w:rsid w:val="003044F5"/>
    <w:rsid w:val="003051C9"/>
    <w:rsid w:val="00305C1F"/>
    <w:rsid w:val="00305D1D"/>
    <w:rsid w:val="00306B5E"/>
    <w:rsid w:val="0030700E"/>
    <w:rsid w:val="00307766"/>
    <w:rsid w:val="00307A2D"/>
    <w:rsid w:val="00310D4B"/>
    <w:rsid w:val="00310EC0"/>
    <w:rsid w:val="00311161"/>
    <w:rsid w:val="00311189"/>
    <w:rsid w:val="003122A3"/>
    <w:rsid w:val="003132C3"/>
    <w:rsid w:val="00313A3B"/>
    <w:rsid w:val="00313BCE"/>
    <w:rsid w:val="00313E20"/>
    <w:rsid w:val="00314F5B"/>
    <w:rsid w:val="00315243"/>
    <w:rsid w:val="00315A94"/>
    <w:rsid w:val="00315CB5"/>
    <w:rsid w:val="003164FD"/>
    <w:rsid w:val="003165F8"/>
    <w:rsid w:val="00317240"/>
    <w:rsid w:val="0031737C"/>
    <w:rsid w:val="00320073"/>
    <w:rsid w:val="003201A8"/>
    <w:rsid w:val="003203BF"/>
    <w:rsid w:val="00320626"/>
    <w:rsid w:val="00320DE9"/>
    <w:rsid w:val="00321435"/>
    <w:rsid w:val="003214C3"/>
    <w:rsid w:val="003214D6"/>
    <w:rsid w:val="003219DD"/>
    <w:rsid w:val="00321CC1"/>
    <w:rsid w:val="0032244E"/>
    <w:rsid w:val="00323373"/>
    <w:rsid w:val="003242E5"/>
    <w:rsid w:val="00324DD8"/>
    <w:rsid w:val="003256E0"/>
    <w:rsid w:val="00325E6C"/>
    <w:rsid w:val="00326A13"/>
    <w:rsid w:val="00327114"/>
    <w:rsid w:val="00327B3E"/>
    <w:rsid w:val="00327EA3"/>
    <w:rsid w:val="00332227"/>
    <w:rsid w:val="00332486"/>
    <w:rsid w:val="0033321A"/>
    <w:rsid w:val="00333612"/>
    <w:rsid w:val="00333676"/>
    <w:rsid w:val="003336FD"/>
    <w:rsid w:val="00333A02"/>
    <w:rsid w:val="00333D3B"/>
    <w:rsid w:val="00333E4C"/>
    <w:rsid w:val="00334224"/>
    <w:rsid w:val="0033425B"/>
    <w:rsid w:val="003342F6"/>
    <w:rsid w:val="00334680"/>
    <w:rsid w:val="003350A3"/>
    <w:rsid w:val="0033586C"/>
    <w:rsid w:val="00335EFB"/>
    <w:rsid w:val="003364B8"/>
    <w:rsid w:val="003364EB"/>
    <w:rsid w:val="003370F4"/>
    <w:rsid w:val="003374CB"/>
    <w:rsid w:val="00337D7C"/>
    <w:rsid w:val="00340445"/>
    <w:rsid w:val="00342A4E"/>
    <w:rsid w:val="00342BAE"/>
    <w:rsid w:val="003431F0"/>
    <w:rsid w:val="00343ACE"/>
    <w:rsid w:val="00344388"/>
    <w:rsid w:val="003458E1"/>
    <w:rsid w:val="00345AD6"/>
    <w:rsid w:val="00345E2A"/>
    <w:rsid w:val="00345F25"/>
    <w:rsid w:val="00346772"/>
    <w:rsid w:val="00346E05"/>
    <w:rsid w:val="003514C0"/>
    <w:rsid w:val="00351F42"/>
    <w:rsid w:val="00352BC1"/>
    <w:rsid w:val="00352F19"/>
    <w:rsid w:val="003536EE"/>
    <w:rsid w:val="00353939"/>
    <w:rsid w:val="00354FA4"/>
    <w:rsid w:val="00355855"/>
    <w:rsid w:val="00356902"/>
    <w:rsid w:val="003571E8"/>
    <w:rsid w:val="00357CBA"/>
    <w:rsid w:val="003602AF"/>
    <w:rsid w:val="003619E8"/>
    <w:rsid w:val="00361FC9"/>
    <w:rsid w:val="00363CCB"/>
    <w:rsid w:val="003640EA"/>
    <w:rsid w:val="003642A2"/>
    <w:rsid w:val="003646C5"/>
    <w:rsid w:val="00365006"/>
    <w:rsid w:val="00365258"/>
    <w:rsid w:val="003653AC"/>
    <w:rsid w:val="00365ABF"/>
    <w:rsid w:val="00366FA8"/>
    <w:rsid w:val="003675A2"/>
    <w:rsid w:val="0037017C"/>
    <w:rsid w:val="003703D0"/>
    <w:rsid w:val="003706B3"/>
    <w:rsid w:val="003709F9"/>
    <w:rsid w:val="00372522"/>
    <w:rsid w:val="003728C9"/>
    <w:rsid w:val="00373353"/>
    <w:rsid w:val="00373923"/>
    <w:rsid w:val="003744B5"/>
    <w:rsid w:val="003745F2"/>
    <w:rsid w:val="00374BA5"/>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436C"/>
    <w:rsid w:val="003843EC"/>
    <w:rsid w:val="003847A5"/>
    <w:rsid w:val="00385229"/>
    <w:rsid w:val="003853E7"/>
    <w:rsid w:val="00385433"/>
    <w:rsid w:val="00385DD3"/>
    <w:rsid w:val="00387884"/>
    <w:rsid w:val="00387F66"/>
    <w:rsid w:val="0039022F"/>
    <w:rsid w:val="0039048F"/>
    <w:rsid w:val="003909DB"/>
    <w:rsid w:val="00391069"/>
    <w:rsid w:val="00391591"/>
    <w:rsid w:val="00391BFD"/>
    <w:rsid w:val="00392999"/>
    <w:rsid w:val="00392B88"/>
    <w:rsid w:val="00392CF1"/>
    <w:rsid w:val="00393028"/>
    <w:rsid w:val="0039313E"/>
    <w:rsid w:val="003934F9"/>
    <w:rsid w:val="00393AB1"/>
    <w:rsid w:val="00394848"/>
    <w:rsid w:val="00394A73"/>
    <w:rsid w:val="00394CBF"/>
    <w:rsid w:val="00394D1B"/>
    <w:rsid w:val="00394EA1"/>
    <w:rsid w:val="00395AE1"/>
    <w:rsid w:val="003960EC"/>
    <w:rsid w:val="00396982"/>
    <w:rsid w:val="00396A2D"/>
    <w:rsid w:val="0039729C"/>
    <w:rsid w:val="00397BFA"/>
    <w:rsid w:val="003A03CE"/>
    <w:rsid w:val="003A0BE4"/>
    <w:rsid w:val="003A1771"/>
    <w:rsid w:val="003A1D06"/>
    <w:rsid w:val="003A1F30"/>
    <w:rsid w:val="003A236B"/>
    <w:rsid w:val="003A268D"/>
    <w:rsid w:val="003A2908"/>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2926"/>
    <w:rsid w:val="003B3713"/>
    <w:rsid w:val="003B3AA5"/>
    <w:rsid w:val="003B445F"/>
    <w:rsid w:val="003B4982"/>
    <w:rsid w:val="003B4B46"/>
    <w:rsid w:val="003B4DF0"/>
    <w:rsid w:val="003B5C4E"/>
    <w:rsid w:val="003B65AB"/>
    <w:rsid w:val="003B6CFD"/>
    <w:rsid w:val="003B7115"/>
    <w:rsid w:val="003B7B4E"/>
    <w:rsid w:val="003B7D23"/>
    <w:rsid w:val="003C121F"/>
    <w:rsid w:val="003C1F0B"/>
    <w:rsid w:val="003C2E11"/>
    <w:rsid w:val="003C3323"/>
    <w:rsid w:val="003C3359"/>
    <w:rsid w:val="003C3B63"/>
    <w:rsid w:val="003C3E94"/>
    <w:rsid w:val="003C44A5"/>
    <w:rsid w:val="003C4544"/>
    <w:rsid w:val="003C488F"/>
    <w:rsid w:val="003C4DA4"/>
    <w:rsid w:val="003C4E2E"/>
    <w:rsid w:val="003C5286"/>
    <w:rsid w:val="003C542A"/>
    <w:rsid w:val="003C5B59"/>
    <w:rsid w:val="003C63D8"/>
    <w:rsid w:val="003D06D4"/>
    <w:rsid w:val="003D16D0"/>
    <w:rsid w:val="003D27FB"/>
    <w:rsid w:val="003D3FDB"/>
    <w:rsid w:val="003D482D"/>
    <w:rsid w:val="003D53DC"/>
    <w:rsid w:val="003D589A"/>
    <w:rsid w:val="003D5A2F"/>
    <w:rsid w:val="003D6826"/>
    <w:rsid w:val="003D6E2F"/>
    <w:rsid w:val="003D7964"/>
    <w:rsid w:val="003D7BA8"/>
    <w:rsid w:val="003D7E59"/>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79E"/>
    <w:rsid w:val="003F1823"/>
    <w:rsid w:val="003F1DDF"/>
    <w:rsid w:val="003F1F28"/>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AB6"/>
    <w:rsid w:val="00402FEE"/>
    <w:rsid w:val="004030E9"/>
    <w:rsid w:val="004035B9"/>
    <w:rsid w:val="00403DA9"/>
    <w:rsid w:val="00404F25"/>
    <w:rsid w:val="00405A2A"/>
    <w:rsid w:val="00405AF2"/>
    <w:rsid w:val="00405C91"/>
    <w:rsid w:val="00405E73"/>
    <w:rsid w:val="00405FD0"/>
    <w:rsid w:val="004061A4"/>
    <w:rsid w:val="004061E0"/>
    <w:rsid w:val="0040632D"/>
    <w:rsid w:val="00407B04"/>
    <w:rsid w:val="00407BC7"/>
    <w:rsid w:val="00410BE7"/>
    <w:rsid w:val="00410D26"/>
    <w:rsid w:val="0041105B"/>
    <w:rsid w:val="004124E8"/>
    <w:rsid w:val="00413625"/>
    <w:rsid w:val="00413998"/>
    <w:rsid w:val="00413BFD"/>
    <w:rsid w:val="00413DFF"/>
    <w:rsid w:val="00414A4F"/>
    <w:rsid w:val="00415756"/>
    <w:rsid w:val="00415B9C"/>
    <w:rsid w:val="004166CA"/>
    <w:rsid w:val="0041688D"/>
    <w:rsid w:val="004168DB"/>
    <w:rsid w:val="00416A9F"/>
    <w:rsid w:val="004170BB"/>
    <w:rsid w:val="00417D63"/>
    <w:rsid w:val="004201B7"/>
    <w:rsid w:val="00421FC0"/>
    <w:rsid w:val="00422A18"/>
    <w:rsid w:val="00422B01"/>
    <w:rsid w:val="00423668"/>
    <w:rsid w:val="00423C36"/>
    <w:rsid w:val="004242E7"/>
    <w:rsid w:val="00424697"/>
    <w:rsid w:val="00424B8A"/>
    <w:rsid w:val="00425A62"/>
    <w:rsid w:val="00425DDC"/>
    <w:rsid w:val="00426433"/>
    <w:rsid w:val="00427383"/>
    <w:rsid w:val="00427BF1"/>
    <w:rsid w:val="004304D3"/>
    <w:rsid w:val="00430640"/>
    <w:rsid w:val="00430E30"/>
    <w:rsid w:val="00431315"/>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62BC"/>
    <w:rsid w:val="004562F1"/>
    <w:rsid w:val="00456A9B"/>
    <w:rsid w:val="0045708B"/>
    <w:rsid w:val="00457269"/>
    <w:rsid w:val="00460233"/>
    <w:rsid w:val="004619CC"/>
    <w:rsid w:val="00461E36"/>
    <w:rsid w:val="0046392A"/>
    <w:rsid w:val="0046451D"/>
    <w:rsid w:val="00464A3F"/>
    <w:rsid w:val="00464A7E"/>
    <w:rsid w:val="004652F8"/>
    <w:rsid w:val="00465B3E"/>
    <w:rsid w:val="00465C0D"/>
    <w:rsid w:val="00465DED"/>
    <w:rsid w:val="00466945"/>
    <w:rsid w:val="00466ED5"/>
    <w:rsid w:val="00467388"/>
    <w:rsid w:val="00470261"/>
    <w:rsid w:val="00470367"/>
    <w:rsid w:val="004705C5"/>
    <w:rsid w:val="00470934"/>
    <w:rsid w:val="00470AE5"/>
    <w:rsid w:val="0047124D"/>
    <w:rsid w:val="00471CC8"/>
    <w:rsid w:val="00471EE7"/>
    <w:rsid w:val="0047365F"/>
    <w:rsid w:val="00474CD6"/>
    <w:rsid w:val="004751E7"/>
    <w:rsid w:val="0047562B"/>
    <w:rsid w:val="00475D1D"/>
    <w:rsid w:val="00477276"/>
    <w:rsid w:val="004776B9"/>
    <w:rsid w:val="00477C17"/>
    <w:rsid w:val="00480837"/>
    <w:rsid w:val="004813C6"/>
    <w:rsid w:val="00481B7C"/>
    <w:rsid w:val="00482DF6"/>
    <w:rsid w:val="00485168"/>
    <w:rsid w:val="0048578C"/>
    <w:rsid w:val="00485872"/>
    <w:rsid w:val="00485915"/>
    <w:rsid w:val="00485EA4"/>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39"/>
    <w:rsid w:val="004A1D55"/>
    <w:rsid w:val="004A262B"/>
    <w:rsid w:val="004A2B58"/>
    <w:rsid w:val="004A2E82"/>
    <w:rsid w:val="004A3080"/>
    <w:rsid w:val="004A4429"/>
    <w:rsid w:val="004A4862"/>
    <w:rsid w:val="004A4E10"/>
    <w:rsid w:val="004A51B0"/>
    <w:rsid w:val="004A565E"/>
    <w:rsid w:val="004A59A4"/>
    <w:rsid w:val="004A6727"/>
    <w:rsid w:val="004A6981"/>
    <w:rsid w:val="004A6E06"/>
    <w:rsid w:val="004A73C9"/>
    <w:rsid w:val="004A7475"/>
    <w:rsid w:val="004A7F95"/>
    <w:rsid w:val="004B261D"/>
    <w:rsid w:val="004B35DD"/>
    <w:rsid w:val="004B4608"/>
    <w:rsid w:val="004B4960"/>
    <w:rsid w:val="004B63B7"/>
    <w:rsid w:val="004C1447"/>
    <w:rsid w:val="004C15CD"/>
    <w:rsid w:val="004C166F"/>
    <w:rsid w:val="004C262D"/>
    <w:rsid w:val="004C2758"/>
    <w:rsid w:val="004C3CB6"/>
    <w:rsid w:val="004C57D7"/>
    <w:rsid w:val="004C586A"/>
    <w:rsid w:val="004C6802"/>
    <w:rsid w:val="004C6F5B"/>
    <w:rsid w:val="004C7132"/>
    <w:rsid w:val="004C725E"/>
    <w:rsid w:val="004C73AB"/>
    <w:rsid w:val="004C77BC"/>
    <w:rsid w:val="004D032D"/>
    <w:rsid w:val="004D03B3"/>
    <w:rsid w:val="004D05E3"/>
    <w:rsid w:val="004D0729"/>
    <w:rsid w:val="004D10AE"/>
    <w:rsid w:val="004D13DA"/>
    <w:rsid w:val="004D176E"/>
    <w:rsid w:val="004D241E"/>
    <w:rsid w:val="004D411E"/>
    <w:rsid w:val="004D427F"/>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BC0"/>
    <w:rsid w:val="004E206A"/>
    <w:rsid w:val="004E2F50"/>
    <w:rsid w:val="004E345A"/>
    <w:rsid w:val="004E3F06"/>
    <w:rsid w:val="004E433E"/>
    <w:rsid w:val="004E4394"/>
    <w:rsid w:val="004E44AF"/>
    <w:rsid w:val="004E52D5"/>
    <w:rsid w:val="004E59C7"/>
    <w:rsid w:val="004E67BD"/>
    <w:rsid w:val="004E67CC"/>
    <w:rsid w:val="004E6BED"/>
    <w:rsid w:val="004E7CFB"/>
    <w:rsid w:val="004F0094"/>
    <w:rsid w:val="004F091C"/>
    <w:rsid w:val="004F1279"/>
    <w:rsid w:val="004F1517"/>
    <w:rsid w:val="004F1DD7"/>
    <w:rsid w:val="004F266B"/>
    <w:rsid w:val="004F2CF9"/>
    <w:rsid w:val="004F3163"/>
    <w:rsid w:val="004F38C1"/>
    <w:rsid w:val="004F3AC3"/>
    <w:rsid w:val="004F3B32"/>
    <w:rsid w:val="004F3E76"/>
    <w:rsid w:val="004F4097"/>
    <w:rsid w:val="004F4B8F"/>
    <w:rsid w:val="004F5901"/>
    <w:rsid w:val="004F59D0"/>
    <w:rsid w:val="004F5B1F"/>
    <w:rsid w:val="004F5E09"/>
    <w:rsid w:val="004F644E"/>
    <w:rsid w:val="004F797F"/>
    <w:rsid w:val="004F7E38"/>
    <w:rsid w:val="004F7F3C"/>
    <w:rsid w:val="0050043A"/>
    <w:rsid w:val="00500875"/>
    <w:rsid w:val="005011A8"/>
    <w:rsid w:val="0050193A"/>
    <w:rsid w:val="00501E03"/>
    <w:rsid w:val="00501E5A"/>
    <w:rsid w:val="00501EB7"/>
    <w:rsid w:val="00502668"/>
    <w:rsid w:val="0050276C"/>
    <w:rsid w:val="005027F7"/>
    <w:rsid w:val="0050367F"/>
    <w:rsid w:val="00503FE5"/>
    <w:rsid w:val="00504068"/>
    <w:rsid w:val="00504889"/>
    <w:rsid w:val="00504F17"/>
    <w:rsid w:val="00505297"/>
    <w:rsid w:val="0050563F"/>
    <w:rsid w:val="0050650A"/>
    <w:rsid w:val="00507045"/>
    <w:rsid w:val="00507097"/>
    <w:rsid w:val="00507643"/>
    <w:rsid w:val="00507FA4"/>
    <w:rsid w:val="005100BF"/>
    <w:rsid w:val="00510424"/>
    <w:rsid w:val="00510505"/>
    <w:rsid w:val="00510D49"/>
    <w:rsid w:val="0051105A"/>
    <w:rsid w:val="00511D21"/>
    <w:rsid w:val="00512690"/>
    <w:rsid w:val="00512B7A"/>
    <w:rsid w:val="00512CCA"/>
    <w:rsid w:val="00512EFD"/>
    <w:rsid w:val="005134DC"/>
    <w:rsid w:val="0051352C"/>
    <w:rsid w:val="00513896"/>
    <w:rsid w:val="00513998"/>
    <w:rsid w:val="00514214"/>
    <w:rsid w:val="0051453F"/>
    <w:rsid w:val="00514823"/>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7307"/>
    <w:rsid w:val="00527637"/>
    <w:rsid w:val="00527E4A"/>
    <w:rsid w:val="00530122"/>
    <w:rsid w:val="00530202"/>
    <w:rsid w:val="00530617"/>
    <w:rsid w:val="0053097C"/>
    <w:rsid w:val="00530B1B"/>
    <w:rsid w:val="00531C5E"/>
    <w:rsid w:val="0053266F"/>
    <w:rsid w:val="00532A52"/>
    <w:rsid w:val="00532FBE"/>
    <w:rsid w:val="00535772"/>
    <w:rsid w:val="005360B6"/>
    <w:rsid w:val="0053616B"/>
    <w:rsid w:val="00536AB7"/>
    <w:rsid w:val="00540796"/>
    <w:rsid w:val="005408EA"/>
    <w:rsid w:val="00540B90"/>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50163"/>
    <w:rsid w:val="00550BD7"/>
    <w:rsid w:val="00550FF4"/>
    <w:rsid w:val="00551A35"/>
    <w:rsid w:val="005531EF"/>
    <w:rsid w:val="0055408C"/>
    <w:rsid w:val="00555289"/>
    <w:rsid w:val="00557BE8"/>
    <w:rsid w:val="00560452"/>
    <w:rsid w:val="0056097F"/>
    <w:rsid w:val="00560E39"/>
    <w:rsid w:val="00562076"/>
    <w:rsid w:val="005622D6"/>
    <w:rsid w:val="00562AD4"/>
    <w:rsid w:val="00563583"/>
    <w:rsid w:val="005635DB"/>
    <w:rsid w:val="00563722"/>
    <w:rsid w:val="005644D2"/>
    <w:rsid w:val="00565126"/>
    <w:rsid w:val="0056605B"/>
    <w:rsid w:val="005664D0"/>
    <w:rsid w:val="00566509"/>
    <w:rsid w:val="00566C96"/>
    <w:rsid w:val="0056736F"/>
    <w:rsid w:val="005705DB"/>
    <w:rsid w:val="005709EF"/>
    <w:rsid w:val="0057109F"/>
    <w:rsid w:val="00571971"/>
    <w:rsid w:val="005721D9"/>
    <w:rsid w:val="00572770"/>
    <w:rsid w:val="0057299C"/>
    <w:rsid w:val="00572A16"/>
    <w:rsid w:val="00572D02"/>
    <w:rsid w:val="00572F10"/>
    <w:rsid w:val="005731E7"/>
    <w:rsid w:val="00573836"/>
    <w:rsid w:val="00573C96"/>
    <w:rsid w:val="00574200"/>
    <w:rsid w:val="00574776"/>
    <w:rsid w:val="00574ADD"/>
    <w:rsid w:val="00574BF4"/>
    <w:rsid w:val="00575FD0"/>
    <w:rsid w:val="00576547"/>
    <w:rsid w:val="005766D7"/>
    <w:rsid w:val="00576ED0"/>
    <w:rsid w:val="00576F87"/>
    <w:rsid w:val="00577B69"/>
    <w:rsid w:val="005800A3"/>
    <w:rsid w:val="00581587"/>
    <w:rsid w:val="00581F5A"/>
    <w:rsid w:val="00582B82"/>
    <w:rsid w:val="00582EF6"/>
    <w:rsid w:val="00583464"/>
    <w:rsid w:val="00583A9B"/>
    <w:rsid w:val="00585A48"/>
    <w:rsid w:val="00585D80"/>
    <w:rsid w:val="00586A60"/>
    <w:rsid w:val="00587847"/>
    <w:rsid w:val="00587868"/>
    <w:rsid w:val="00587E0C"/>
    <w:rsid w:val="00590C43"/>
    <w:rsid w:val="00591025"/>
    <w:rsid w:val="00591555"/>
    <w:rsid w:val="00592CDD"/>
    <w:rsid w:val="00592E85"/>
    <w:rsid w:val="00592F69"/>
    <w:rsid w:val="00593557"/>
    <w:rsid w:val="005935DB"/>
    <w:rsid w:val="0059385F"/>
    <w:rsid w:val="005946F1"/>
    <w:rsid w:val="005950AF"/>
    <w:rsid w:val="00597E2F"/>
    <w:rsid w:val="005A02B7"/>
    <w:rsid w:val="005A07C9"/>
    <w:rsid w:val="005A10EF"/>
    <w:rsid w:val="005A12C1"/>
    <w:rsid w:val="005A12E3"/>
    <w:rsid w:val="005A1307"/>
    <w:rsid w:val="005A1548"/>
    <w:rsid w:val="005A28CF"/>
    <w:rsid w:val="005A371D"/>
    <w:rsid w:val="005A385F"/>
    <w:rsid w:val="005A4642"/>
    <w:rsid w:val="005A4851"/>
    <w:rsid w:val="005A4B6B"/>
    <w:rsid w:val="005A4FD0"/>
    <w:rsid w:val="005A5C02"/>
    <w:rsid w:val="005A61DF"/>
    <w:rsid w:val="005A6614"/>
    <w:rsid w:val="005A66D1"/>
    <w:rsid w:val="005A708D"/>
    <w:rsid w:val="005A7559"/>
    <w:rsid w:val="005A7587"/>
    <w:rsid w:val="005B0942"/>
    <w:rsid w:val="005B15EF"/>
    <w:rsid w:val="005B1ADB"/>
    <w:rsid w:val="005B1BDC"/>
    <w:rsid w:val="005B1C58"/>
    <w:rsid w:val="005B342A"/>
    <w:rsid w:val="005B37AA"/>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C1F"/>
    <w:rsid w:val="005C4D87"/>
    <w:rsid w:val="005C5F97"/>
    <w:rsid w:val="005C6799"/>
    <w:rsid w:val="005C7036"/>
    <w:rsid w:val="005C7053"/>
    <w:rsid w:val="005D0181"/>
    <w:rsid w:val="005D1B22"/>
    <w:rsid w:val="005D1F87"/>
    <w:rsid w:val="005D247E"/>
    <w:rsid w:val="005D2797"/>
    <w:rsid w:val="005D2821"/>
    <w:rsid w:val="005D29AB"/>
    <w:rsid w:val="005D2AD9"/>
    <w:rsid w:val="005D41A9"/>
    <w:rsid w:val="005D487B"/>
    <w:rsid w:val="005D569E"/>
    <w:rsid w:val="005D6A20"/>
    <w:rsid w:val="005D6BC4"/>
    <w:rsid w:val="005D75A8"/>
    <w:rsid w:val="005D7F63"/>
    <w:rsid w:val="005D7FD7"/>
    <w:rsid w:val="005E01D6"/>
    <w:rsid w:val="005E0D2C"/>
    <w:rsid w:val="005E0FBF"/>
    <w:rsid w:val="005E1A94"/>
    <w:rsid w:val="005E1E5E"/>
    <w:rsid w:val="005E1EC8"/>
    <w:rsid w:val="005E2578"/>
    <w:rsid w:val="005E320C"/>
    <w:rsid w:val="005E3644"/>
    <w:rsid w:val="005E43D7"/>
    <w:rsid w:val="005E43D9"/>
    <w:rsid w:val="005E4D2B"/>
    <w:rsid w:val="005E4DFD"/>
    <w:rsid w:val="005E4E92"/>
    <w:rsid w:val="005E5326"/>
    <w:rsid w:val="005E549E"/>
    <w:rsid w:val="005E5E26"/>
    <w:rsid w:val="005E5F05"/>
    <w:rsid w:val="005E60DE"/>
    <w:rsid w:val="005E621A"/>
    <w:rsid w:val="005E6788"/>
    <w:rsid w:val="005E78D5"/>
    <w:rsid w:val="005F048A"/>
    <w:rsid w:val="005F0DF2"/>
    <w:rsid w:val="005F1192"/>
    <w:rsid w:val="005F1569"/>
    <w:rsid w:val="005F1684"/>
    <w:rsid w:val="005F186F"/>
    <w:rsid w:val="005F2A09"/>
    <w:rsid w:val="005F3287"/>
    <w:rsid w:val="005F354D"/>
    <w:rsid w:val="005F36B8"/>
    <w:rsid w:val="005F41E6"/>
    <w:rsid w:val="005F50F8"/>
    <w:rsid w:val="005F57CD"/>
    <w:rsid w:val="005F5C60"/>
    <w:rsid w:val="005F65D7"/>
    <w:rsid w:val="005F7277"/>
    <w:rsid w:val="0060015E"/>
    <w:rsid w:val="00600FF2"/>
    <w:rsid w:val="0060107B"/>
    <w:rsid w:val="00601744"/>
    <w:rsid w:val="00601EEB"/>
    <w:rsid w:val="0060324A"/>
    <w:rsid w:val="00603B00"/>
    <w:rsid w:val="00604586"/>
    <w:rsid w:val="00604A3E"/>
    <w:rsid w:val="00604E98"/>
    <w:rsid w:val="00605593"/>
    <w:rsid w:val="00607D49"/>
    <w:rsid w:val="00607E9C"/>
    <w:rsid w:val="00610586"/>
    <w:rsid w:val="00610A0E"/>
    <w:rsid w:val="00610D9A"/>
    <w:rsid w:val="00611ED2"/>
    <w:rsid w:val="00613239"/>
    <w:rsid w:val="006133AF"/>
    <w:rsid w:val="00614D9F"/>
    <w:rsid w:val="00615CF7"/>
    <w:rsid w:val="0061600A"/>
    <w:rsid w:val="006160B5"/>
    <w:rsid w:val="00616417"/>
    <w:rsid w:val="0061657A"/>
    <w:rsid w:val="00616CA8"/>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5C14"/>
    <w:rsid w:val="00627AF1"/>
    <w:rsid w:val="00627B99"/>
    <w:rsid w:val="00627E6A"/>
    <w:rsid w:val="00627E79"/>
    <w:rsid w:val="00631EC7"/>
    <w:rsid w:val="006335B0"/>
    <w:rsid w:val="00633D19"/>
    <w:rsid w:val="00633D42"/>
    <w:rsid w:val="00634056"/>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FF5"/>
    <w:rsid w:val="00647CD3"/>
    <w:rsid w:val="0065022E"/>
    <w:rsid w:val="00650398"/>
    <w:rsid w:val="0065047A"/>
    <w:rsid w:val="006510E7"/>
    <w:rsid w:val="00651D1E"/>
    <w:rsid w:val="006524CF"/>
    <w:rsid w:val="00652AB2"/>
    <w:rsid w:val="00654F65"/>
    <w:rsid w:val="006556B0"/>
    <w:rsid w:val="006557F4"/>
    <w:rsid w:val="0065588A"/>
    <w:rsid w:val="00655983"/>
    <w:rsid w:val="00656065"/>
    <w:rsid w:val="006571CF"/>
    <w:rsid w:val="0065748E"/>
    <w:rsid w:val="00657934"/>
    <w:rsid w:val="00657A63"/>
    <w:rsid w:val="006604AF"/>
    <w:rsid w:val="006612B7"/>
    <w:rsid w:val="00661497"/>
    <w:rsid w:val="00661503"/>
    <w:rsid w:val="006617A5"/>
    <w:rsid w:val="00661EB0"/>
    <w:rsid w:val="0066235E"/>
    <w:rsid w:val="00662523"/>
    <w:rsid w:val="00662B0D"/>
    <w:rsid w:val="006631F5"/>
    <w:rsid w:val="00663E53"/>
    <w:rsid w:val="006644CF"/>
    <w:rsid w:val="006645B8"/>
    <w:rsid w:val="00665461"/>
    <w:rsid w:val="00666308"/>
    <w:rsid w:val="00666BB7"/>
    <w:rsid w:val="00666C4C"/>
    <w:rsid w:val="00667518"/>
    <w:rsid w:val="00670342"/>
    <w:rsid w:val="00670D33"/>
    <w:rsid w:val="0067157C"/>
    <w:rsid w:val="00671AFA"/>
    <w:rsid w:val="006722F6"/>
    <w:rsid w:val="006725F0"/>
    <w:rsid w:val="00672A00"/>
    <w:rsid w:val="00672A27"/>
    <w:rsid w:val="00674DCE"/>
    <w:rsid w:val="00675104"/>
    <w:rsid w:val="00675A8E"/>
    <w:rsid w:val="00675D1F"/>
    <w:rsid w:val="00675F27"/>
    <w:rsid w:val="00676955"/>
    <w:rsid w:val="00676D3E"/>
    <w:rsid w:val="00677048"/>
    <w:rsid w:val="0068046C"/>
    <w:rsid w:val="006812C0"/>
    <w:rsid w:val="00681732"/>
    <w:rsid w:val="00681B7E"/>
    <w:rsid w:val="006828B7"/>
    <w:rsid w:val="00683085"/>
    <w:rsid w:val="0068311C"/>
    <w:rsid w:val="0068387C"/>
    <w:rsid w:val="00683942"/>
    <w:rsid w:val="00683ACE"/>
    <w:rsid w:val="00683E1A"/>
    <w:rsid w:val="0068574F"/>
    <w:rsid w:val="00686222"/>
    <w:rsid w:val="00686C68"/>
    <w:rsid w:val="00686D9B"/>
    <w:rsid w:val="00686F04"/>
    <w:rsid w:val="00686F62"/>
    <w:rsid w:val="00687043"/>
    <w:rsid w:val="006872FC"/>
    <w:rsid w:val="00690B64"/>
    <w:rsid w:val="00691F51"/>
    <w:rsid w:val="00692328"/>
    <w:rsid w:val="0069241A"/>
    <w:rsid w:val="006935B9"/>
    <w:rsid w:val="00694848"/>
    <w:rsid w:val="00695224"/>
    <w:rsid w:val="00695AF5"/>
    <w:rsid w:val="00696667"/>
    <w:rsid w:val="00696EA4"/>
    <w:rsid w:val="00697A24"/>
    <w:rsid w:val="00697C1D"/>
    <w:rsid w:val="006A0902"/>
    <w:rsid w:val="006A0BAC"/>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3E23"/>
    <w:rsid w:val="006A48DE"/>
    <w:rsid w:val="006A4A68"/>
    <w:rsid w:val="006A4DFD"/>
    <w:rsid w:val="006A5013"/>
    <w:rsid w:val="006A5734"/>
    <w:rsid w:val="006A610B"/>
    <w:rsid w:val="006A6598"/>
    <w:rsid w:val="006A6C76"/>
    <w:rsid w:val="006A6C7E"/>
    <w:rsid w:val="006A75E1"/>
    <w:rsid w:val="006A7DA2"/>
    <w:rsid w:val="006B09B1"/>
    <w:rsid w:val="006B1298"/>
    <w:rsid w:val="006B1923"/>
    <w:rsid w:val="006B1CFA"/>
    <w:rsid w:val="006B260C"/>
    <w:rsid w:val="006B2E18"/>
    <w:rsid w:val="006B38D4"/>
    <w:rsid w:val="006B3D4C"/>
    <w:rsid w:val="006B445B"/>
    <w:rsid w:val="006B541F"/>
    <w:rsid w:val="006B5DC9"/>
    <w:rsid w:val="006B65F2"/>
    <w:rsid w:val="006B66F8"/>
    <w:rsid w:val="006B6C8C"/>
    <w:rsid w:val="006B6CDF"/>
    <w:rsid w:val="006B7604"/>
    <w:rsid w:val="006B77FE"/>
    <w:rsid w:val="006B7A32"/>
    <w:rsid w:val="006C0088"/>
    <w:rsid w:val="006C0CC8"/>
    <w:rsid w:val="006C1765"/>
    <w:rsid w:val="006C1D0E"/>
    <w:rsid w:val="006C1FFC"/>
    <w:rsid w:val="006C2192"/>
    <w:rsid w:val="006C2227"/>
    <w:rsid w:val="006C2237"/>
    <w:rsid w:val="006C2A33"/>
    <w:rsid w:val="006C3391"/>
    <w:rsid w:val="006C3957"/>
    <w:rsid w:val="006C3C53"/>
    <w:rsid w:val="006C3CBA"/>
    <w:rsid w:val="006C3E30"/>
    <w:rsid w:val="006C3E96"/>
    <w:rsid w:val="006C4AC7"/>
    <w:rsid w:val="006C511D"/>
    <w:rsid w:val="006C5F50"/>
    <w:rsid w:val="006D0435"/>
    <w:rsid w:val="006D05EF"/>
    <w:rsid w:val="006D0878"/>
    <w:rsid w:val="006D0BDD"/>
    <w:rsid w:val="006D0BE5"/>
    <w:rsid w:val="006D0CB8"/>
    <w:rsid w:val="006D0CDA"/>
    <w:rsid w:val="006D150F"/>
    <w:rsid w:val="006D23E7"/>
    <w:rsid w:val="006D2762"/>
    <w:rsid w:val="006D2A1D"/>
    <w:rsid w:val="006D32D2"/>
    <w:rsid w:val="006D41C9"/>
    <w:rsid w:val="006D48F6"/>
    <w:rsid w:val="006D5920"/>
    <w:rsid w:val="006D59CA"/>
    <w:rsid w:val="006D5C8D"/>
    <w:rsid w:val="006D6A01"/>
    <w:rsid w:val="006D7DAF"/>
    <w:rsid w:val="006E0126"/>
    <w:rsid w:val="006E0848"/>
    <w:rsid w:val="006E1450"/>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6278"/>
    <w:rsid w:val="006F7BB8"/>
    <w:rsid w:val="00700FC6"/>
    <w:rsid w:val="00701022"/>
    <w:rsid w:val="00701092"/>
    <w:rsid w:val="007016CB"/>
    <w:rsid w:val="0070184D"/>
    <w:rsid w:val="00701DDF"/>
    <w:rsid w:val="00702247"/>
    <w:rsid w:val="007033F1"/>
    <w:rsid w:val="00704B50"/>
    <w:rsid w:val="00704CBD"/>
    <w:rsid w:val="0070597A"/>
    <w:rsid w:val="007059E9"/>
    <w:rsid w:val="00705DC2"/>
    <w:rsid w:val="0070655B"/>
    <w:rsid w:val="00707536"/>
    <w:rsid w:val="00707DE3"/>
    <w:rsid w:val="00710292"/>
    <w:rsid w:val="00713861"/>
    <w:rsid w:val="00714054"/>
    <w:rsid w:val="00714083"/>
    <w:rsid w:val="00714146"/>
    <w:rsid w:val="00716559"/>
    <w:rsid w:val="00716C9E"/>
    <w:rsid w:val="007205F0"/>
    <w:rsid w:val="0072127E"/>
    <w:rsid w:val="007215B3"/>
    <w:rsid w:val="0072271B"/>
    <w:rsid w:val="00722DF7"/>
    <w:rsid w:val="00723C90"/>
    <w:rsid w:val="007240BD"/>
    <w:rsid w:val="0072460F"/>
    <w:rsid w:val="00724702"/>
    <w:rsid w:val="007247CF"/>
    <w:rsid w:val="00724AD9"/>
    <w:rsid w:val="007258FF"/>
    <w:rsid w:val="00725EFC"/>
    <w:rsid w:val="00725FAB"/>
    <w:rsid w:val="007264FB"/>
    <w:rsid w:val="00727237"/>
    <w:rsid w:val="00730966"/>
    <w:rsid w:val="00730B23"/>
    <w:rsid w:val="00731614"/>
    <w:rsid w:val="007325D2"/>
    <w:rsid w:val="00733153"/>
    <w:rsid w:val="00733B22"/>
    <w:rsid w:val="00734D7F"/>
    <w:rsid w:val="007356DE"/>
    <w:rsid w:val="00735C72"/>
    <w:rsid w:val="007367CA"/>
    <w:rsid w:val="00736C6D"/>
    <w:rsid w:val="007377B5"/>
    <w:rsid w:val="00737C0A"/>
    <w:rsid w:val="00740187"/>
    <w:rsid w:val="0074160D"/>
    <w:rsid w:val="00741C58"/>
    <w:rsid w:val="00741C5E"/>
    <w:rsid w:val="00743262"/>
    <w:rsid w:val="007444BF"/>
    <w:rsid w:val="007444FA"/>
    <w:rsid w:val="0074533B"/>
    <w:rsid w:val="00745BD2"/>
    <w:rsid w:val="007460BF"/>
    <w:rsid w:val="00746164"/>
    <w:rsid w:val="007463BC"/>
    <w:rsid w:val="00746A22"/>
    <w:rsid w:val="00746F94"/>
    <w:rsid w:val="00746FB8"/>
    <w:rsid w:val="00747C97"/>
    <w:rsid w:val="00747CEF"/>
    <w:rsid w:val="0075028B"/>
    <w:rsid w:val="00750D85"/>
    <w:rsid w:val="00750D90"/>
    <w:rsid w:val="00751041"/>
    <w:rsid w:val="00751196"/>
    <w:rsid w:val="00752B74"/>
    <w:rsid w:val="00752DC9"/>
    <w:rsid w:val="00752E07"/>
    <w:rsid w:val="00752FEA"/>
    <w:rsid w:val="00753B52"/>
    <w:rsid w:val="00755213"/>
    <w:rsid w:val="0075523F"/>
    <w:rsid w:val="00755E79"/>
    <w:rsid w:val="00756916"/>
    <w:rsid w:val="00756A61"/>
    <w:rsid w:val="00756F86"/>
    <w:rsid w:val="0075777A"/>
    <w:rsid w:val="0076013E"/>
    <w:rsid w:val="0076128E"/>
    <w:rsid w:val="0076266C"/>
    <w:rsid w:val="007645ED"/>
    <w:rsid w:val="00765002"/>
    <w:rsid w:val="007675F7"/>
    <w:rsid w:val="0077091F"/>
    <w:rsid w:val="00771266"/>
    <w:rsid w:val="00771B21"/>
    <w:rsid w:val="00772036"/>
    <w:rsid w:val="0077203D"/>
    <w:rsid w:val="00772114"/>
    <w:rsid w:val="00772150"/>
    <w:rsid w:val="007721E3"/>
    <w:rsid w:val="00772B31"/>
    <w:rsid w:val="00773B71"/>
    <w:rsid w:val="00774BE0"/>
    <w:rsid w:val="00775496"/>
    <w:rsid w:val="00775850"/>
    <w:rsid w:val="00775910"/>
    <w:rsid w:val="00776534"/>
    <w:rsid w:val="007768AE"/>
    <w:rsid w:val="00776F7B"/>
    <w:rsid w:val="00777322"/>
    <w:rsid w:val="00777C1D"/>
    <w:rsid w:val="00780CFA"/>
    <w:rsid w:val="00780D57"/>
    <w:rsid w:val="00780F67"/>
    <w:rsid w:val="007811DE"/>
    <w:rsid w:val="007818C5"/>
    <w:rsid w:val="00781EF6"/>
    <w:rsid w:val="00781F40"/>
    <w:rsid w:val="00782CE7"/>
    <w:rsid w:val="00782F5F"/>
    <w:rsid w:val="00783824"/>
    <w:rsid w:val="00783AB0"/>
    <w:rsid w:val="00784306"/>
    <w:rsid w:val="00784450"/>
    <w:rsid w:val="00784DDD"/>
    <w:rsid w:val="00785434"/>
    <w:rsid w:val="007854AB"/>
    <w:rsid w:val="00785789"/>
    <w:rsid w:val="007857B5"/>
    <w:rsid w:val="00785923"/>
    <w:rsid w:val="00785F9C"/>
    <w:rsid w:val="007860FC"/>
    <w:rsid w:val="007868A5"/>
    <w:rsid w:val="00786D03"/>
    <w:rsid w:val="00786EFE"/>
    <w:rsid w:val="007874E8"/>
    <w:rsid w:val="00787E46"/>
    <w:rsid w:val="00790C65"/>
    <w:rsid w:val="007914C4"/>
    <w:rsid w:val="007929D3"/>
    <w:rsid w:val="00792DF5"/>
    <w:rsid w:val="0079538B"/>
    <w:rsid w:val="0079543C"/>
    <w:rsid w:val="00795586"/>
    <w:rsid w:val="00795707"/>
    <w:rsid w:val="007958A2"/>
    <w:rsid w:val="00795A32"/>
    <w:rsid w:val="00795C4E"/>
    <w:rsid w:val="007970DC"/>
    <w:rsid w:val="00797438"/>
    <w:rsid w:val="00797A25"/>
    <w:rsid w:val="007A03B1"/>
    <w:rsid w:val="007A0520"/>
    <w:rsid w:val="007A0605"/>
    <w:rsid w:val="007A09DF"/>
    <w:rsid w:val="007A0E2F"/>
    <w:rsid w:val="007A10E6"/>
    <w:rsid w:val="007A1136"/>
    <w:rsid w:val="007A20EA"/>
    <w:rsid w:val="007A241F"/>
    <w:rsid w:val="007A26FB"/>
    <w:rsid w:val="007A3506"/>
    <w:rsid w:val="007A372A"/>
    <w:rsid w:val="007A3BD1"/>
    <w:rsid w:val="007A4153"/>
    <w:rsid w:val="007A46C9"/>
    <w:rsid w:val="007A4A1C"/>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4B16"/>
    <w:rsid w:val="007C573D"/>
    <w:rsid w:val="007C5BAA"/>
    <w:rsid w:val="007C5EB7"/>
    <w:rsid w:val="007C79CF"/>
    <w:rsid w:val="007C7BAE"/>
    <w:rsid w:val="007D02AD"/>
    <w:rsid w:val="007D04E6"/>
    <w:rsid w:val="007D06EE"/>
    <w:rsid w:val="007D0D57"/>
    <w:rsid w:val="007D1D33"/>
    <w:rsid w:val="007D2640"/>
    <w:rsid w:val="007D2656"/>
    <w:rsid w:val="007D27C9"/>
    <w:rsid w:val="007D2D2D"/>
    <w:rsid w:val="007D2FDA"/>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431"/>
    <w:rsid w:val="007E479E"/>
    <w:rsid w:val="007E5533"/>
    <w:rsid w:val="007E5555"/>
    <w:rsid w:val="007E5691"/>
    <w:rsid w:val="007E56DD"/>
    <w:rsid w:val="007E614B"/>
    <w:rsid w:val="007E6353"/>
    <w:rsid w:val="007E637E"/>
    <w:rsid w:val="007E6810"/>
    <w:rsid w:val="007E6C96"/>
    <w:rsid w:val="007E7BB8"/>
    <w:rsid w:val="007E7BEA"/>
    <w:rsid w:val="007F0400"/>
    <w:rsid w:val="007F040C"/>
    <w:rsid w:val="007F068D"/>
    <w:rsid w:val="007F0A9F"/>
    <w:rsid w:val="007F1B06"/>
    <w:rsid w:val="007F215B"/>
    <w:rsid w:val="007F268D"/>
    <w:rsid w:val="007F2907"/>
    <w:rsid w:val="007F2930"/>
    <w:rsid w:val="007F2AD8"/>
    <w:rsid w:val="007F2BEA"/>
    <w:rsid w:val="007F345B"/>
    <w:rsid w:val="007F36BA"/>
    <w:rsid w:val="007F497F"/>
    <w:rsid w:val="007F5124"/>
    <w:rsid w:val="007F53C0"/>
    <w:rsid w:val="007F577C"/>
    <w:rsid w:val="007F6A3A"/>
    <w:rsid w:val="007F6AC2"/>
    <w:rsid w:val="00800E47"/>
    <w:rsid w:val="00801AB1"/>
    <w:rsid w:val="00802383"/>
    <w:rsid w:val="00802C82"/>
    <w:rsid w:val="008033B8"/>
    <w:rsid w:val="008033C1"/>
    <w:rsid w:val="00803689"/>
    <w:rsid w:val="00803D71"/>
    <w:rsid w:val="00803DDC"/>
    <w:rsid w:val="00803EBA"/>
    <w:rsid w:val="0080498C"/>
    <w:rsid w:val="008049DB"/>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691"/>
    <w:rsid w:val="008239AF"/>
    <w:rsid w:val="00824448"/>
    <w:rsid w:val="0082530D"/>
    <w:rsid w:val="00825530"/>
    <w:rsid w:val="00827280"/>
    <w:rsid w:val="008275A6"/>
    <w:rsid w:val="00827773"/>
    <w:rsid w:val="00827B06"/>
    <w:rsid w:val="00827E2A"/>
    <w:rsid w:val="00830148"/>
    <w:rsid w:val="00830AF2"/>
    <w:rsid w:val="00830BFC"/>
    <w:rsid w:val="00830EAB"/>
    <w:rsid w:val="008310D2"/>
    <w:rsid w:val="00831F24"/>
    <w:rsid w:val="00832458"/>
    <w:rsid w:val="00832601"/>
    <w:rsid w:val="00832DD9"/>
    <w:rsid w:val="00833045"/>
    <w:rsid w:val="0083478D"/>
    <w:rsid w:val="0083687A"/>
    <w:rsid w:val="0083775C"/>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777"/>
    <w:rsid w:val="008538E8"/>
    <w:rsid w:val="00854CBF"/>
    <w:rsid w:val="00855C0E"/>
    <w:rsid w:val="00855CB8"/>
    <w:rsid w:val="00856618"/>
    <w:rsid w:val="008566CA"/>
    <w:rsid w:val="008568C5"/>
    <w:rsid w:val="00856B2E"/>
    <w:rsid w:val="008576E8"/>
    <w:rsid w:val="008610C6"/>
    <w:rsid w:val="00861804"/>
    <w:rsid w:val="00862584"/>
    <w:rsid w:val="00862D18"/>
    <w:rsid w:val="008632E4"/>
    <w:rsid w:val="008637BB"/>
    <w:rsid w:val="008638FB"/>
    <w:rsid w:val="00864BA7"/>
    <w:rsid w:val="00864FA0"/>
    <w:rsid w:val="00864FD5"/>
    <w:rsid w:val="00867216"/>
    <w:rsid w:val="0086743B"/>
    <w:rsid w:val="00867EF6"/>
    <w:rsid w:val="00870CEF"/>
    <w:rsid w:val="0087154B"/>
    <w:rsid w:val="00871579"/>
    <w:rsid w:val="00871793"/>
    <w:rsid w:val="00871B86"/>
    <w:rsid w:val="00872962"/>
    <w:rsid w:val="008729E8"/>
    <w:rsid w:val="008731BF"/>
    <w:rsid w:val="0087345B"/>
    <w:rsid w:val="00873A05"/>
    <w:rsid w:val="00873C79"/>
    <w:rsid w:val="008742B8"/>
    <w:rsid w:val="00874AFA"/>
    <w:rsid w:val="00874BE6"/>
    <w:rsid w:val="00874BEF"/>
    <w:rsid w:val="00874C43"/>
    <w:rsid w:val="00875044"/>
    <w:rsid w:val="008752CF"/>
    <w:rsid w:val="008752D5"/>
    <w:rsid w:val="00875D1B"/>
    <w:rsid w:val="00876093"/>
    <w:rsid w:val="008774B2"/>
    <w:rsid w:val="00877570"/>
    <w:rsid w:val="0088118A"/>
    <w:rsid w:val="008815C0"/>
    <w:rsid w:val="0088250C"/>
    <w:rsid w:val="008832BB"/>
    <w:rsid w:val="00884182"/>
    <w:rsid w:val="008844CC"/>
    <w:rsid w:val="00884DE8"/>
    <w:rsid w:val="0088512A"/>
    <w:rsid w:val="008864C3"/>
    <w:rsid w:val="00886B83"/>
    <w:rsid w:val="00886EC0"/>
    <w:rsid w:val="00887272"/>
    <w:rsid w:val="00887AA2"/>
    <w:rsid w:val="008900AB"/>
    <w:rsid w:val="0089018B"/>
    <w:rsid w:val="00890AC9"/>
    <w:rsid w:val="008916E6"/>
    <w:rsid w:val="00891B0F"/>
    <w:rsid w:val="00892147"/>
    <w:rsid w:val="0089263D"/>
    <w:rsid w:val="008926B9"/>
    <w:rsid w:val="00892BD6"/>
    <w:rsid w:val="008935B1"/>
    <w:rsid w:val="008940AA"/>
    <w:rsid w:val="00894579"/>
    <w:rsid w:val="00894649"/>
    <w:rsid w:val="00895364"/>
    <w:rsid w:val="008959FD"/>
    <w:rsid w:val="00895C6B"/>
    <w:rsid w:val="00896D0A"/>
    <w:rsid w:val="0089751D"/>
    <w:rsid w:val="00897A46"/>
    <w:rsid w:val="008A0126"/>
    <w:rsid w:val="008A07C5"/>
    <w:rsid w:val="008A0954"/>
    <w:rsid w:val="008A0D61"/>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D17"/>
    <w:rsid w:val="008B0E4F"/>
    <w:rsid w:val="008B11DE"/>
    <w:rsid w:val="008B1807"/>
    <w:rsid w:val="008B1874"/>
    <w:rsid w:val="008B2637"/>
    <w:rsid w:val="008B2706"/>
    <w:rsid w:val="008B2D1E"/>
    <w:rsid w:val="008B3114"/>
    <w:rsid w:val="008B319C"/>
    <w:rsid w:val="008B31E9"/>
    <w:rsid w:val="008B3E6B"/>
    <w:rsid w:val="008B4F99"/>
    <w:rsid w:val="008B5768"/>
    <w:rsid w:val="008B591C"/>
    <w:rsid w:val="008B5B1F"/>
    <w:rsid w:val="008B5F93"/>
    <w:rsid w:val="008B5FD5"/>
    <w:rsid w:val="008B63BB"/>
    <w:rsid w:val="008B6948"/>
    <w:rsid w:val="008B6DA0"/>
    <w:rsid w:val="008B6E0E"/>
    <w:rsid w:val="008B6E85"/>
    <w:rsid w:val="008B761D"/>
    <w:rsid w:val="008B7C4A"/>
    <w:rsid w:val="008C0190"/>
    <w:rsid w:val="008C01FF"/>
    <w:rsid w:val="008C0A9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B9B"/>
    <w:rsid w:val="008D0D6B"/>
    <w:rsid w:val="008D0E73"/>
    <w:rsid w:val="008D14B9"/>
    <w:rsid w:val="008D1648"/>
    <w:rsid w:val="008D16DD"/>
    <w:rsid w:val="008D2745"/>
    <w:rsid w:val="008D2A84"/>
    <w:rsid w:val="008D4D1D"/>
    <w:rsid w:val="008D50BF"/>
    <w:rsid w:val="008D56F0"/>
    <w:rsid w:val="008D5D67"/>
    <w:rsid w:val="008D5F2F"/>
    <w:rsid w:val="008D6448"/>
    <w:rsid w:val="008D66D8"/>
    <w:rsid w:val="008D682A"/>
    <w:rsid w:val="008D751E"/>
    <w:rsid w:val="008D7E7E"/>
    <w:rsid w:val="008D7EF6"/>
    <w:rsid w:val="008E02A6"/>
    <w:rsid w:val="008E02FA"/>
    <w:rsid w:val="008E1922"/>
    <w:rsid w:val="008E1CD3"/>
    <w:rsid w:val="008E1F25"/>
    <w:rsid w:val="008E27CB"/>
    <w:rsid w:val="008E2AE3"/>
    <w:rsid w:val="008E449D"/>
    <w:rsid w:val="008E5072"/>
    <w:rsid w:val="008E57B4"/>
    <w:rsid w:val="008E58A8"/>
    <w:rsid w:val="008E6374"/>
    <w:rsid w:val="008E6791"/>
    <w:rsid w:val="008E72A7"/>
    <w:rsid w:val="008E7C43"/>
    <w:rsid w:val="008F0232"/>
    <w:rsid w:val="008F04AE"/>
    <w:rsid w:val="008F0682"/>
    <w:rsid w:val="008F06E3"/>
    <w:rsid w:val="008F23FE"/>
    <w:rsid w:val="008F2C96"/>
    <w:rsid w:val="008F3767"/>
    <w:rsid w:val="008F3AB4"/>
    <w:rsid w:val="008F432B"/>
    <w:rsid w:val="008F43F9"/>
    <w:rsid w:val="008F4452"/>
    <w:rsid w:val="008F4F69"/>
    <w:rsid w:val="008F4FFD"/>
    <w:rsid w:val="008F53DF"/>
    <w:rsid w:val="008F54DD"/>
    <w:rsid w:val="008F6E39"/>
    <w:rsid w:val="00900473"/>
    <w:rsid w:val="00900ED9"/>
    <w:rsid w:val="009013F6"/>
    <w:rsid w:val="00901880"/>
    <w:rsid w:val="009018CE"/>
    <w:rsid w:val="00901D16"/>
    <w:rsid w:val="00901EB2"/>
    <w:rsid w:val="00902AA5"/>
    <w:rsid w:val="00904000"/>
    <w:rsid w:val="00904F14"/>
    <w:rsid w:val="0090562E"/>
    <w:rsid w:val="00905A66"/>
    <w:rsid w:val="00905DB4"/>
    <w:rsid w:val="00906446"/>
    <w:rsid w:val="00906459"/>
    <w:rsid w:val="009068B9"/>
    <w:rsid w:val="00906C94"/>
    <w:rsid w:val="009071BB"/>
    <w:rsid w:val="00907209"/>
    <w:rsid w:val="00907E01"/>
    <w:rsid w:val="00911100"/>
    <w:rsid w:val="00911F3B"/>
    <w:rsid w:val="009130F8"/>
    <w:rsid w:val="00913249"/>
    <w:rsid w:val="00913494"/>
    <w:rsid w:val="00913699"/>
    <w:rsid w:val="00913C46"/>
    <w:rsid w:val="00913F80"/>
    <w:rsid w:val="009144AB"/>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A9F"/>
    <w:rsid w:val="00925042"/>
    <w:rsid w:val="009251E0"/>
    <w:rsid w:val="009269BD"/>
    <w:rsid w:val="00926AA3"/>
    <w:rsid w:val="00926E00"/>
    <w:rsid w:val="00930B44"/>
    <w:rsid w:val="00931225"/>
    <w:rsid w:val="0093126B"/>
    <w:rsid w:val="0093128F"/>
    <w:rsid w:val="00931D72"/>
    <w:rsid w:val="00932288"/>
    <w:rsid w:val="00932774"/>
    <w:rsid w:val="00933603"/>
    <w:rsid w:val="00934680"/>
    <w:rsid w:val="009350DA"/>
    <w:rsid w:val="0093570B"/>
    <w:rsid w:val="009357E4"/>
    <w:rsid w:val="0093646B"/>
    <w:rsid w:val="0093791B"/>
    <w:rsid w:val="00940D6C"/>
    <w:rsid w:val="00941303"/>
    <w:rsid w:val="0094165E"/>
    <w:rsid w:val="00941FD2"/>
    <w:rsid w:val="009429B6"/>
    <w:rsid w:val="009443AE"/>
    <w:rsid w:val="00944B51"/>
    <w:rsid w:val="00944BA6"/>
    <w:rsid w:val="00944CFB"/>
    <w:rsid w:val="00944F50"/>
    <w:rsid w:val="00945199"/>
    <w:rsid w:val="009457AA"/>
    <w:rsid w:val="00945A29"/>
    <w:rsid w:val="009463D5"/>
    <w:rsid w:val="00946797"/>
    <w:rsid w:val="00946800"/>
    <w:rsid w:val="00946822"/>
    <w:rsid w:val="0094706D"/>
    <w:rsid w:val="00947C03"/>
    <w:rsid w:val="009511EB"/>
    <w:rsid w:val="00951870"/>
    <w:rsid w:val="00951EE6"/>
    <w:rsid w:val="00952051"/>
    <w:rsid w:val="00953ABF"/>
    <w:rsid w:val="00953D69"/>
    <w:rsid w:val="00954226"/>
    <w:rsid w:val="00954658"/>
    <w:rsid w:val="00956153"/>
    <w:rsid w:val="009561B4"/>
    <w:rsid w:val="009565AE"/>
    <w:rsid w:val="00956AA3"/>
    <w:rsid w:val="009574B7"/>
    <w:rsid w:val="009605F6"/>
    <w:rsid w:val="00960662"/>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2177"/>
    <w:rsid w:val="00973DF4"/>
    <w:rsid w:val="00974624"/>
    <w:rsid w:val="00975087"/>
    <w:rsid w:val="00975C59"/>
    <w:rsid w:val="009760F9"/>
    <w:rsid w:val="00976215"/>
    <w:rsid w:val="00976309"/>
    <w:rsid w:val="009773D6"/>
    <w:rsid w:val="00977491"/>
    <w:rsid w:val="00977C0C"/>
    <w:rsid w:val="00980C2C"/>
    <w:rsid w:val="00982626"/>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D80"/>
    <w:rsid w:val="00991EA5"/>
    <w:rsid w:val="009920AC"/>
    <w:rsid w:val="00992863"/>
    <w:rsid w:val="00992AD4"/>
    <w:rsid w:val="00992B33"/>
    <w:rsid w:val="00992B8E"/>
    <w:rsid w:val="009945E8"/>
    <w:rsid w:val="00994FC7"/>
    <w:rsid w:val="009959BD"/>
    <w:rsid w:val="00996363"/>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9F4"/>
    <w:rsid w:val="009A3ADC"/>
    <w:rsid w:val="009A3C08"/>
    <w:rsid w:val="009A4AA5"/>
    <w:rsid w:val="009A55FF"/>
    <w:rsid w:val="009A57CD"/>
    <w:rsid w:val="009A5D5A"/>
    <w:rsid w:val="009A5DEE"/>
    <w:rsid w:val="009A6277"/>
    <w:rsid w:val="009A6783"/>
    <w:rsid w:val="009A73C8"/>
    <w:rsid w:val="009A76E5"/>
    <w:rsid w:val="009A78A6"/>
    <w:rsid w:val="009A7AFF"/>
    <w:rsid w:val="009A7D13"/>
    <w:rsid w:val="009B0472"/>
    <w:rsid w:val="009B0DA6"/>
    <w:rsid w:val="009B1362"/>
    <w:rsid w:val="009B15B7"/>
    <w:rsid w:val="009B1A87"/>
    <w:rsid w:val="009B21EE"/>
    <w:rsid w:val="009B2247"/>
    <w:rsid w:val="009B2576"/>
    <w:rsid w:val="009B297F"/>
    <w:rsid w:val="009B31C1"/>
    <w:rsid w:val="009B362E"/>
    <w:rsid w:val="009B3D52"/>
    <w:rsid w:val="009B4548"/>
    <w:rsid w:val="009B4699"/>
    <w:rsid w:val="009B4E55"/>
    <w:rsid w:val="009B506D"/>
    <w:rsid w:val="009B55EE"/>
    <w:rsid w:val="009B5882"/>
    <w:rsid w:val="009B6452"/>
    <w:rsid w:val="009C039D"/>
    <w:rsid w:val="009C0631"/>
    <w:rsid w:val="009C1008"/>
    <w:rsid w:val="009C1809"/>
    <w:rsid w:val="009C1AFF"/>
    <w:rsid w:val="009C218C"/>
    <w:rsid w:val="009C21E3"/>
    <w:rsid w:val="009C222F"/>
    <w:rsid w:val="009C25F1"/>
    <w:rsid w:val="009C2C60"/>
    <w:rsid w:val="009C3B12"/>
    <w:rsid w:val="009C3EC8"/>
    <w:rsid w:val="009C4186"/>
    <w:rsid w:val="009C47F5"/>
    <w:rsid w:val="009C4C4F"/>
    <w:rsid w:val="009C59C1"/>
    <w:rsid w:val="009C5AD0"/>
    <w:rsid w:val="009C6134"/>
    <w:rsid w:val="009C69CD"/>
    <w:rsid w:val="009C6D2B"/>
    <w:rsid w:val="009C7301"/>
    <w:rsid w:val="009C788F"/>
    <w:rsid w:val="009C79AB"/>
    <w:rsid w:val="009C7ACB"/>
    <w:rsid w:val="009C7EF2"/>
    <w:rsid w:val="009D135A"/>
    <w:rsid w:val="009D1A50"/>
    <w:rsid w:val="009D2F15"/>
    <w:rsid w:val="009D321C"/>
    <w:rsid w:val="009D3F25"/>
    <w:rsid w:val="009D4134"/>
    <w:rsid w:val="009D4A53"/>
    <w:rsid w:val="009D4B3F"/>
    <w:rsid w:val="009D500B"/>
    <w:rsid w:val="009D57AF"/>
    <w:rsid w:val="009D5899"/>
    <w:rsid w:val="009D5EFF"/>
    <w:rsid w:val="009D648F"/>
    <w:rsid w:val="009D737C"/>
    <w:rsid w:val="009D7811"/>
    <w:rsid w:val="009D7EC6"/>
    <w:rsid w:val="009E0313"/>
    <w:rsid w:val="009E1E04"/>
    <w:rsid w:val="009E1FF9"/>
    <w:rsid w:val="009E4179"/>
    <w:rsid w:val="009E4242"/>
    <w:rsid w:val="009E4732"/>
    <w:rsid w:val="009E57E8"/>
    <w:rsid w:val="009E59F4"/>
    <w:rsid w:val="009E5D79"/>
    <w:rsid w:val="009E7266"/>
    <w:rsid w:val="009E7B1E"/>
    <w:rsid w:val="009E7D74"/>
    <w:rsid w:val="009F0190"/>
    <w:rsid w:val="009F01B8"/>
    <w:rsid w:val="009F047C"/>
    <w:rsid w:val="009F0840"/>
    <w:rsid w:val="009F0B0F"/>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E51"/>
    <w:rsid w:val="00A04494"/>
    <w:rsid w:val="00A0546E"/>
    <w:rsid w:val="00A0551C"/>
    <w:rsid w:val="00A05BB8"/>
    <w:rsid w:val="00A06295"/>
    <w:rsid w:val="00A06427"/>
    <w:rsid w:val="00A076BA"/>
    <w:rsid w:val="00A121A7"/>
    <w:rsid w:val="00A12416"/>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954"/>
    <w:rsid w:val="00A17BA4"/>
    <w:rsid w:val="00A207DC"/>
    <w:rsid w:val="00A20CEB"/>
    <w:rsid w:val="00A21118"/>
    <w:rsid w:val="00A21F8C"/>
    <w:rsid w:val="00A22977"/>
    <w:rsid w:val="00A23A82"/>
    <w:rsid w:val="00A23B89"/>
    <w:rsid w:val="00A241F9"/>
    <w:rsid w:val="00A24437"/>
    <w:rsid w:val="00A252B6"/>
    <w:rsid w:val="00A2544C"/>
    <w:rsid w:val="00A25FFF"/>
    <w:rsid w:val="00A2607B"/>
    <w:rsid w:val="00A26CCB"/>
    <w:rsid w:val="00A27980"/>
    <w:rsid w:val="00A27A38"/>
    <w:rsid w:val="00A27C3C"/>
    <w:rsid w:val="00A27D03"/>
    <w:rsid w:val="00A27DB4"/>
    <w:rsid w:val="00A30E89"/>
    <w:rsid w:val="00A314A0"/>
    <w:rsid w:val="00A31ADE"/>
    <w:rsid w:val="00A31C7D"/>
    <w:rsid w:val="00A320DB"/>
    <w:rsid w:val="00A3249C"/>
    <w:rsid w:val="00A32A75"/>
    <w:rsid w:val="00A33C93"/>
    <w:rsid w:val="00A3410E"/>
    <w:rsid w:val="00A35ACD"/>
    <w:rsid w:val="00A35AFF"/>
    <w:rsid w:val="00A36A84"/>
    <w:rsid w:val="00A370B4"/>
    <w:rsid w:val="00A37836"/>
    <w:rsid w:val="00A406E6"/>
    <w:rsid w:val="00A41B17"/>
    <w:rsid w:val="00A421B2"/>
    <w:rsid w:val="00A4292D"/>
    <w:rsid w:val="00A42E17"/>
    <w:rsid w:val="00A4329A"/>
    <w:rsid w:val="00A4334A"/>
    <w:rsid w:val="00A43DB0"/>
    <w:rsid w:val="00A43F59"/>
    <w:rsid w:val="00A443E2"/>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340"/>
    <w:rsid w:val="00A57A69"/>
    <w:rsid w:val="00A57F82"/>
    <w:rsid w:val="00A608B7"/>
    <w:rsid w:val="00A60FE1"/>
    <w:rsid w:val="00A6122A"/>
    <w:rsid w:val="00A61836"/>
    <w:rsid w:val="00A61853"/>
    <w:rsid w:val="00A618C6"/>
    <w:rsid w:val="00A62A4D"/>
    <w:rsid w:val="00A62CC5"/>
    <w:rsid w:val="00A6317B"/>
    <w:rsid w:val="00A63184"/>
    <w:rsid w:val="00A63DF1"/>
    <w:rsid w:val="00A64096"/>
    <w:rsid w:val="00A6410C"/>
    <w:rsid w:val="00A6435A"/>
    <w:rsid w:val="00A647CD"/>
    <w:rsid w:val="00A6560B"/>
    <w:rsid w:val="00A65C42"/>
    <w:rsid w:val="00A65EF7"/>
    <w:rsid w:val="00A66396"/>
    <w:rsid w:val="00A671D1"/>
    <w:rsid w:val="00A67879"/>
    <w:rsid w:val="00A67EF5"/>
    <w:rsid w:val="00A7234D"/>
    <w:rsid w:val="00A72E28"/>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3DDC"/>
    <w:rsid w:val="00A83F37"/>
    <w:rsid w:val="00A84018"/>
    <w:rsid w:val="00A8418F"/>
    <w:rsid w:val="00A84BED"/>
    <w:rsid w:val="00A8536F"/>
    <w:rsid w:val="00A857C4"/>
    <w:rsid w:val="00A85CD9"/>
    <w:rsid w:val="00A85E27"/>
    <w:rsid w:val="00A86D6F"/>
    <w:rsid w:val="00A86E3E"/>
    <w:rsid w:val="00A874D2"/>
    <w:rsid w:val="00A87BAE"/>
    <w:rsid w:val="00A90976"/>
    <w:rsid w:val="00A913A1"/>
    <w:rsid w:val="00A91ACB"/>
    <w:rsid w:val="00A91AF5"/>
    <w:rsid w:val="00A9234A"/>
    <w:rsid w:val="00A92584"/>
    <w:rsid w:val="00A925A7"/>
    <w:rsid w:val="00A925DB"/>
    <w:rsid w:val="00A930BB"/>
    <w:rsid w:val="00A933F4"/>
    <w:rsid w:val="00A93DC6"/>
    <w:rsid w:val="00A94354"/>
    <w:rsid w:val="00A94796"/>
    <w:rsid w:val="00A94CEF"/>
    <w:rsid w:val="00A9501F"/>
    <w:rsid w:val="00A951AC"/>
    <w:rsid w:val="00A951C2"/>
    <w:rsid w:val="00A95452"/>
    <w:rsid w:val="00A95EE0"/>
    <w:rsid w:val="00A96EF6"/>
    <w:rsid w:val="00AA096E"/>
    <w:rsid w:val="00AA1293"/>
    <w:rsid w:val="00AA14C3"/>
    <w:rsid w:val="00AA188D"/>
    <w:rsid w:val="00AA3EDF"/>
    <w:rsid w:val="00AA411A"/>
    <w:rsid w:val="00AA4220"/>
    <w:rsid w:val="00AA4239"/>
    <w:rsid w:val="00AA4D46"/>
    <w:rsid w:val="00AA54AE"/>
    <w:rsid w:val="00AA5F04"/>
    <w:rsid w:val="00AA6816"/>
    <w:rsid w:val="00AA69E5"/>
    <w:rsid w:val="00AA6D4E"/>
    <w:rsid w:val="00AA75CE"/>
    <w:rsid w:val="00AB023A"/>
    <w:rsid w:val="00AB0C43"/>
    <w:rsid w:val="00AB1082"/>
    <w:rsid w:val="00AB1098"/>
    <w:rsid w:val="00AB173C"/>
    <w:rsid w:val="00AB1B38"/>
    <w:rsid w:val="00AB217D"/>
    <w:rsid w:val="00AB2581"/>
    <w:rsid w:val="00AB2643"/>
    <w:rsid w:val="00AB27C6"/>
    <w:rsid w:val="00AB3031"/>
    <w:rsid w:val="00AB3379"/>
    <w:rsid w:val="00AB3F05"/>
    <w:rsid w:val="00AB4013"/>
    <w:rsid w:val="00AB462F"/>
    <w:rsid w:val="00AB4C0D"/>
    <w:rsid w:val="00AB4DB7"/>
    <w:rsid w:val="00AB557D"/>
    <w:rsid w:val="00AB6477"/>
    <w:rsid w:val="00AB6533"/>
    <w:rsid w:val="00AB689D"/>
    <w:rsid w:val="00AB6EB6"/>
    <w:rsid w:val="00AB7675"/>
    <w:rsid w:val="00AB7E48"/>
    <w:rsid w:val="00AC070D"/>
    <w:rsid w:val="00AC0DE8"/>
    <w:rsid w:val="00AC1A14"/>
    <w:rsid w:val="00AC2A94"/>
    <w:rsid w:val="00AC322C"/>
    <w:rsid w:val="00AC33E2"/>
    <w:rsid w:val="00AC3674"/>
    <w:rsid w:val="00AC3F97"/>
    <w:rsid w:val="00AC4A20"/>
    <w:rsid w:val="00AC4FEA"/>
    <w:rsid w:val="00AC5213"/>
    <w:rsid w:val="00AC53F3"/>
    <w:rsid w:val="00AC584E"/>
    <w:rsid w:val="00AC5B6E"/>
    <w:rsid w:val="00AC5E1A"/>
    <w:rsid w:val="00AC7B80"/>
    <w:rsid w:val="00AD073E"/>
    <w:rsid w:val="00AD0A32"/>
    <w:rsid w:val="00AD1442"/>
    <w:rsid w:val="00AD14AB"/>
    <w:rsid w:val="00AD1B73"/>
    <w:rsid w:val="00AD20ED"/>
    <w:rsid w:val="00AD20FA"/>
    <w:rsid w:val="00AD2F04"/>
    <w:rsid w:val="00AD2FE7"/>
    <w:rsid w:val="00AD30DD"/>
    <w:rsid w:val="00AD3BC2"/>
    <w:rsid w:val="00AD3C4C"/>
    <w:rsid w:val="00AD4264"/>
    <w:rsid w:val="00AD4434"/>
    <w:rsid w:val="00AD4D17"/>
    <w:rsid w:val="00AD5334"/>
    <w:rsid w:val="00AD53AA"/>
    <w:rsid w:val="00AD6826"/>
    <w:rsid w:val="00AD72BC"/>
    <w:rsid w:val="00AD79BF"/>
    <w:rsid w:val="00AD7C84"/>
    <w:rsid w:val="00AE07E1"/>
    <w:rsid w:val="00AE1D52"/>
    <w:rsid w:val="00AE2133"/>
    <w:rsid w:val="00AE2AD5"/>
    <w:rsid w:val="00AE3344"/>
    <w:rsid w:val="00AE43F4"/>
    <w:rsid w:val="00AE5099"/>
    <w:rsid w:val="00AE50D3"/>
    <w:rsid w:val="00AE606A"/>
    <w:rsid w:val="00AF013B"/>
    <w:rsid w:val="00AF0A66"/>
    <w:rsid w:val="00AF0CF8"/>
    <w:rsid w:val="00AF1658"/>
    <w:rsid w:val="00AF262C"/>
    <w:rsid w:val="00AF415A"/>
    <w:rsid w:val="00AF44F2"/>
    <w:rsid w:val="00AF4950"/>
    <w:rsid w:val="00AF53AB"/>
    <w:rsid w:val="00AF53BA"/>
    <w:rsid w:val="00AF64D9"/>
    <w:rsid w:val="00AF69B4"/>
    <w:rsid w:val="00AF717B"/>
    <w:rsid w:val="00B00CD0"/>
    <w:rsid w:val="00B00D77"/>
    <w:rsid w:val="00B01138"/>
    <w:rsid w:val="00B0117B"/>
    <w:rsid w:val="00B011BD"/>
    <w:rsid w:val="00B01283"/>
    <w:rsid w:val="00B0153C"/>
    <w:rsid w:val="00B02A46"/>
    <w:rsid w:val="00B035B9"/>
    <w:rsid w:val="00B03EBB"/>
    <w:rsid w:val="00B04DD4"/>
    <w:rsid w:val="00B05993"/>
    <w:rsid w:val="00B060CD"/>
    <w:rsid w:val="00B0686C"/>
    <w:rsid w:val="00B06E97"/>
    <w:rsid w:val="00B102AD"/>
    <w:rsid w:val="00B10681"/>
    <w:rsid w:val="00B10B50"/>
    <w:rsid w:val="00B1149B"/>
    <w:rsid w:val="00B116D4"/>
    <w:rsid w:val="00B134E7"/>
    <w:rsid w:val="00B13A79"/>
    <w:rsid w:val="00B14FC0"/>
    <w:rsid w:val="00B159F7"/>
    <w:rsid w:val="00B16524"/>
    <w:rsid w:val="00B165E7"/>
    <w:rsid w:val="00B16E86"/>
    <w:rsid w:val="00B170A8"/>
    <w:rsid w:val="00B20364"/>
    <w:rsid w:val="00B20E6F"/>
    <w:rsid w:val="00B211F2"/>
    <w:rsid w:val="00B2130C"/>
    <w:rsid w:val="00B215D0"/>
    <w:rsid w:val="00B21EDE"/>
    <w:rsid w:val="00B2244B"/>
    <w:rsid w:val="00B226A9"/>
    <w:rsid w:val="00B2300D"/>
    <w:rsid w:val="00B230F6"/>
    <w:rsid w:val="00B23139"/>
    <w:rsid w:val="00B232D6"/>
    <w:rsid w:val="00B23539"/>
    <w:rsid w:val="00B23551"/>
    <w:rsid w:val="00B24DC8"/>
    <w:rsid w:val="00B25335"/>
    <w:rsid w:val="00B25CBD"/>
    <w:rsid w:val="00B26391"/>
    <w:rsid w:val="00B26A06"/>
    <w:rsid w:val="00B27AD5"/>
    <w:rsid w:val="00B27F3D"/>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554"/>
    <w:rsid w:val="00B466F0"/>
    <w:rsid w:val="00B467BB"/>
    <w:rsid w:val="00B46AD1"/>
    <w:rsid w:val="00B47E3B"/>
    <w:rsid w:val="00B50892"/>
    <w:rsid w:val="00B51057"/>
    <w:rsid w:val="00B511ED"/>
    <w:rsid w:val="00B51602"/>
    <w:rsid w:val="00B51F21"/>
    <w:rsid w:val="00B52273"/>
    <w:rsid w:val="00B52540"/>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4774"/>
    <w:rsid w:val="00B64E06"/>
    <w:rsid w:val="00B65A6A"/>
    <w:rsid w:val="00B65CB5"/>
    <w:rsid w:val="00B65D4A"/>
    <w:rsid w:val="00B668FC"/>
    <w:rsid w:val="00B66B65"/>
    <w:rsid w:val="00B67E57"/>
    <w:rsid w:val="00B70EBF"/>
    <w:rsid w:val="00B70EF2"/>
    <w:rsid w:val="00B70F06"/>
    <w:rsid w:val="00B7145B"/>
    <w:rsid w:val="00B71881"/>
    <w:rsid w:val="00B72FA4"/>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BF0"/>
    <w:rsid w:val="00B80E48"/>
    <w:rsid w:val="00B810CD"/>
    <w:rsid w:val="00B81196"/>
    <w:rsid w:val="00B81393"/>
    <w:rsid w:val="00B81607"/>
    <w:rsid w:val="00B81787"/>
    <w:rsid w:val="00B81E23"/>
    <w:rsid w:val="00B8280A"/>
    <w:rsid w:val="00B83280"/>
    <w:rsid w:val="00B83638"/>
    <w:rsid w:val="00B839BC"/>
    <w:rsid w:val="00B84738"/>
    <w:rsid w:val="00B84B83"/>
    <w:rsid w:val="00B85057"/>
    <w:rsid w:val="00B85087"/>
    <w:rsid w:val="00B853F9"/>
    <w:rsid w:val="00B860D7"/>
    <w:rsid w:val="00B868DC"/>
    <w:rsid w:val="00B9190B"/>
    <w:rsid w:val="00B92342"/>
    <w:rsid w:val="00B92412"/>
    <w:rsid w:val="00B92971"/>
    <w:rsid w:val="00B92D1A"/>
    <w:rsid w:val="00B93445"/>
    <w:rsid w:val="00B939A1"/>
    <w:rsid w:val="00B93B87"/>
    <w:rsid w:val="00B9431E"/>
    <w:rsid w:val="00B9465D"/>
    <w:rsid w:val="00B9473D"/>
    <w:rsid w:val="00B94881"/>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434"/>
    <w:rsid w:val="00BA1865"/>
    <w:rsid w:val="00BA3212"/>
    <w:rsid w:val="00BA3B4B"/>
    <w:rsid w:val="00BA40BE"/>
    <w:rsid w:val="00BA4564"/>
    <w:rsid w:val="00BA467B"/>
    <w:rsid w:val="00BA4D41"/>
    <w:rsid w:val="00BA58BB"/>
    <w:rsid w:val="00BA67FC"/>
    <w:rsid w:val="00BA6B8E"/>
    <w:rsid w:val="00BA7285"/>
    <w:rsid w:val="00BA7BE8"/>
    <w:rsid w:val="00BB08F7"/>
    <w:rsid w:val="00BB0BA7"/>
    <w:rsid w:val="00BB0CA1"/>
    <w:rsid w:val="00BB133D"/>
    <w:rsid w:val="00BB1924"/>
    <w:rsid w:val="00BB26EB"/>
    <w:rsid w:val="00BB2C15"/>
    <w:rsid w:val="00BB3C8A"/>
    <w:rsid w:val="00BB4049"/>
    <w:rsid w:val="00BB5E0A"/>
    <w:rsid w:val="00BB7AF7"/>
    <w:rsid w:val="00BC00C1"/>
    <w:rsid w:val="00BC0230"/>
    <w:rsid w:val="00BC02CD"/>
    <w:rsid w:val="00BC0688"/>
    <w:rsid w:val="00BC1233"/>
    <w:rsid w:val="00BC1478"/>
    <w:rsid w:val="00BC1BFE"/>
    <w:rsid w:val="00BC2264"/>
    <w:rsid w:val="00BC2C3A"/>
    <w:rsid w:val="00BC3CE2"/>
    <w:rsid w:val="00BC3E3B"/>
    <w:rsid w:val="00BC52DE"/>
    <w:rsid w:val="00BC5902"/>
    <w:rsid w:val="00BC69C6"/>
    <w:rsid w:val="00BC7775"/>
    <w:rsid w:val="00BC7956"/>
    <w:rsid w:val="00BD02E6"/>
    <w:rsid w:val="00BD065D"/>
    <w:rsid w:val="00BD0CF8"/>
    <w:rsid w:val="00BD0DDA"/>
    <w:rsid w:val="00BD1469"/>
    <w:rsid w:val="00BD154F"/>
    <w:rsid w:val="00BD1FF6"/>
    <w:rsid w:val="00BD2256"/>
    <w:rsid w:val="00BD24B6"/>
    <w:rsid w:val="00BD3080"/>
    <w:rsid w:val="00BD3124"/>
    <w:rsid w:val="00BD316A"/>
    <w:rsid w:val="00BD33EC"/>
    <w:rsid w:val="00BD3A94"/>
    <w:rsid w:val="00BD43BD"/>
    <w:rsid w:val="00BD4CF5"/>
    <w:rsid w:val="00BD5152"/>
    <w:rsid w:val="00BD5C38"/>
    <w:rsid w:val="00BD6C08"/>
    <w:rsid w:val="00BD72A6"/>
    <w:rsid w:val="00BD762F"/>
    <w:rsid w:val="00BD7D70"/>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BE1"/>
    <w:rsid w:val="00BE64BF"/>
    <w:rsid w:val="00BE654A"/>
    <w:rsid w:val="00BE6653"/>
    <w:rsid w:val="00BE7B46"/>
    <w:rsid w:val="00BE7D9A"/>
    <w:rsid w:val="00BF02D4"/>
    <w:rsid w:val="00BF0724"/>
    <w:rsid w:val="00BF15B9"/>
    <w:rsid w:val="00BF1896"/>
    <w:rsid w:val="00BF324E"/>
    <w:rsid w:val="00BF329F"/>
    <w:rsid w:val="00BF3693"/>
    <w:rsid w:val="00BF4674"/>
    <w:rsid w:val="00BF47B7"/>
    <w:rsid w:val="00BF5020"/>
    <w:rsid w:val="00BF55BA"/>
    <w:rsid w:val="00BF58F2"/>
    <w:rsid w:val="00BF590D"/>
    <w:rsid w:val="00BF5981"/>
    <w:rsid w:val="00BF6637"/>
    <w:rsid w:val="00BF756C"/>
    <w:rsid w:val="00C024DF"/>
    <w:rsid w:val="00C028F9"/>
    <w:rsid w:val="00C0308D"/>
    <w:rsid w:val="00C035A7"/>
    <w:rsid w:val="00C0387C"/>
    <w:rsid w:val="00C04012"/>
    <w:rsid w:val="00C04A2A"/>
    <w:rsid w:val="00C04FA3"/>
    <w:rsid w:val="00C051F1"/>
    <w:rsid w:val="00C05216"/>
    <w:rsid w:val="00C05754"/>
    <w:rsid w:val="00C0586E"/>
    <w:rsid w:val="00C05C1A"/>
    <w:rsid w:val="00C05F6F"/>
    <w:rsid w:val="00C06021"/>
    <w:rsid w:val="00C06091"/>
    <w:rsid w:val="00C068B6"/>
    <w:rsid w:val="00C07269"/>
    <w:rsid w:val="00C077A9"/>
    <w:rsid w:val="00C10C63"/>
    <w:rsid w:val="00C10D34"/>
    <w:rsid w:val="00C11612"/>
    <w:rsid w:val="00C11B8C"/>
    <w:rsid w:val="00C12101"/>
    <w:rsid w:val="00C1230F"/>
    <w:rsid w:val="00C12EC3"/>
    <w:rsid w:val="00C137E0"/>
    <w:rsid w:val="00C13810"/>
    <w:rsid w:val="00C13934"/>
    <w:rsid w:val="00C13B21"/>
    <w:rsid w:val="00C14234"/>
    <w:rsid w:val="00C14C9F"/>
    <w:rsid w:val="00C155CC"/>
    <w:rsid w:val="00C15941"/>
    <w:rsid w:val="00C160D1"/>
    <w:rsid w:val="00C168BD"/>
    <w:rsid w:val="00C16B20"/>
    <w:rsid w:val="00C16E20"/>
    <w:rsid w:val="00C170CD"/>
    <w:rsid w:val="00C2047B"/>
    <w:rsid w:val="00C20A4F"/>
    <w:rsid w:val="00C212A5"/>
    <w:rsid w:val="00C21801"/>
    <w:rsid w:val="00C21EE3"/>
    <w:rsid w:val="00C2304D"/>
    <w:rsid w:val="00C236EB"/>
    <w:rsid w:val="00C23BE9"/>
    <w:rsid w:val="00C24016"/>
    <w:rsid w:val="00C24904"/>
    <w:rsid w:val="00C2541E"/>
    <w:rsid w:val="00C25F86"/>
    <w:rsid w:val="00C2649C"/>
    <w:rsid w:val="00C26623"/>
    <w:rsid w:val="00C26685"/>
    <w:rsid w:val="00C26D74"/>
    <w:rsid w:val="00C30824"/>
    <w:rsid w:val="00C30F87"/>
    <w:rsid w:val="00C31BF8"/>
    <w:rsid w:val="00C3273C"/>
    <w:rsid w:val="00C32EC2"/>
    <w:rsid w:val="00C3307F"/>
    <w:rsid w:val="00C3319F"/>
    <w:rsid w:val="00C33F77"/>
    <w:rsid w:val="00C348FF"/>
    <w:rsid w:val="00C34CC3"/>
    <w:rsid w:val="00C34F30"/>
    <w:rsid w:val="00C363E7"/>
    <w:rsid w:val="00C3640A"/>
    <w:rsid w:val="00C36F96"/>
    <w:rsid w:val="00C3796D"/>
    <w:rsid w:val="00C4057F"/>
    <w:rsid w:val="00C40753"/>
    <w:rsid w:val="00C40815"/>
    <w:rsid w:val="00C40B89"/>
    <w:rsid w:val="00C40B90"/>
    <w:rsid w:val="00C41BEB"/>
    <w:rsid w:val="00C427A2"/>
    <w:rsid w:val="00C42E64"/>
    <w:rsid w:val="00C42FF6"/>
    <w:rsid w:val="00C43C61"/>
    <w:rsid w:val="00C441C2"/>
    <w:rsid w:val="00C4421D"/>
    <w:rsid w:val="00C47B24"/>
    <w:rsid w:val="00C50040"/>
    <w:rsid w:val="00C507A3"/>
    <w:rsid w:val="00C5183A"/>
    <w:rsid w:val="00C51B9C"/>
    <w:rsid w:val="00C51BEC"/>
    <w:rsid w:val="00C521AE"/>
    <w:rsid w:val="00C52B13"/>
    <w:rsid w:val="00C54A87"/>
    <w:rsid w:val="00C55428"/>
    <w:rsid w:val="00C55DE1"/>
    <w:rsid w:val="00C56679"/>
    <w:rsid w:val="00C568CE"/>
    <w:rsid w:val="00C56A7A"/>
    <w:rsid w:val="00C56BC5"/>
    <w:rsid w:val="00C56DB7"/>
    <w:rsid w:val="00C572FF"/>
    <w:rsid w:val="00C57991"/>
    <w:rsid w:val="00C60B64"/>
    <w:rsid w:val="00C60D23"/>
    <w:rsid w:val="00C613E0"/>
    <w:rsid w:val="00C615B8"/>
    <w:rsid w:val="00C61AFD"/>
    <w:rsid w:val="00C62D67"/>
    <w:rsid w:val="00C6356B"/>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F2C"/>
    <w:rsid w:val="00C8734C"/>
    <w:rsid w:val="00C87A9E"/>
    <w:rsid w:val="00C904E4"/>
    <w:rsid w:val="00C90BC4"/>
    <w:rsid w:val="00C91633"/>
    <w:rsid w:val="00C935B7"/>
    <w:rsid w:val="00C9382C"/>
    <w:rsid w:val="00C94BAE"/>
    <w:rsid w:val="00C94C71"/>
    <w:rsid w:val="00C94F15"/>
    <w:rsid w:val="00C954BD"/>
    <w:rsid w:val="00C95615"/>
    <w:rsid w:val="00C97517"/>
    <w:rsid w:val="00C97CC0"/>
    <w:rsid w:val="00C97D75"/>
    <w:rsid w:val="00CA0261"/>
    <w:rsid w:val="00CA04BA"/>
    <w:rsid w:val="00CA136D"/>
    <w:rsid w:val="00CA147B"/>
    <w:rsid w:val="00CA2400"/>
    <w:rsid w:val="00CA24A1"/>
    <w:rsid w:val="00CA2AC9"/>
    <w:rsid w:val="00CA2D7A"/>
    <w:rsid w:val="00CA3CDB"/>
    <w:rsid w:val="00CA47F5"/>
    <w:rsid w:val="00CA4CA2"/>
    <w:rsid w:val="00CA5368"/>
    <w:rsid w:val="00CA6310"/>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70A"/>
    <w:rsid w:val="00CB679C"/>
    <w:rsid w:val="00CB6A84"/>
    <w:rsid w:val="00CB6A85"/>
    <w:rsid w:val="00CB7121"/>
    <w:rsid w:val="00CB7364"/>
    <w:rsid w:val="00CB7C4A"/>
    <w:rsid w:val="00CB7ECC"/>
    <w:rsid w:val="00CC00DA"/>
    <w:rsid w:val="00CC07EE"/>
    <w:rsid w:val="00CC0B1E"/>
    <w:rsid w:val="00CC0C76"/>
    <w:rsid w:val="00CC1475"/>
    <w:rsid w:val="00CC1DED"/>
    <w:rsid w:val="00CC319E"/>
    <w:rsid w:val="00CC336D"/>
    <w:rsid w:val="00CC340A"/>
    <w:rsid w:val="00CC36E9"/>
    <w:rsid w:val="00CC5AA0"/>
    <w:rsid w:val="00CC669A"/>
    <w:rsid w:val="00CC75B6"/>
    <w:rsid w:val="00CC779B"/>
    <w:rsid w:val="00CD28B2"/>
    <w:rsid w:val="00CD2DD0"/>
    <w:rsid w:val="00CD33EE"/>
    <w:rsid w:val="00CD3776"/>
    <w:rsid w:val="00CD4D65"/>
    <w:rsid w:val="00CD55B1"/>
    <w:rsid w:val="00CD5680"/>
    <w:rsid w:val="00CD648D"/>
    <w:rsid w:val="00CD6B80"/>
    <w:rsid w:val="00CD7616"/>
    <w:rsid w:val="00CD775A"/>
    <w:rsid w:val="00CE01B5"/>
    <w:rsid w:val="00CE021F"/>
    <w:rsid w:val="00CE0B98"/>
    <w:rsid w:val="00CE2312"/>
    <w:rsid w:val="00CE336E"/>
    <w:rsid w:val="00CE374F"/>
    <w:rsid w:val="00CE384F"/>
    <w:rsid w:val="00CE3CDF"/>
    <w:rsid w:val="00CE3D08"/>
    <w:rsid w:val="00CE3E07"/>
    <w:rsid w:val="00CE3FEE"/>
    <w:rsid w:val="00CE455E"/>
    <w:rsid w:val="00CE6768"/>
    <w:rsid w:val="00CE68A3"/>
    <w:rsid w:val="00CE79A8"/>
    <w:rsid w:val="00CE7E34"/>
    <w:rsid w:val="00CF0639"/>
    <w:rsid w:val="00CF0AE5"/>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9FA"/>
    <w:rsid w:val="00D11712"/>
    <w:rsid w:val="00D11EC0"/>
    <w:rsid w:val="00D120D2"/>
    <w:rsid w:val="00D1301C"/>
    <w:rsid w:val="00D131D1"/>
    <w:rsid w:val="00D13294"/>
    <w:rsid w:val="00D13CB3"/>
    <w:rsid w:val="00D14D12"/>
    <w:rsid w:val="00D14EF2"/>
    <w:rsid w:val="00D15411"/>
    <w:rsid w:val="00D171C8"/>
    <w:rsid w:val="00D17C55"/>
    <w:rsid w:val="00D20137"/>
    <w:rsid w:val="00D208E6"/>
    <w:rsid w:val="00D21A55"/>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511A"/>
    <w:rsid w:val="00D35F28"/>
    <w:rsid w:val="00D3672A"/>
    <w:rsid w:val="00D368A2"/>
    <w:rsid w:val="00D368FF"/>
    <w:rsid w:val="00D36D8E"/>
    <w:rsid w:val="00D374D1"/>
    <w:rsid w:val="00D37596"/>
    <w:rsid w:val="00D37899"/>
    <w:rsid w:val="00D37FCE"/>
    <w:rsid w:val="00D40238"/>
    <w:rsid w:val="00D40D79"/>
    <w:rsid w:val="00D4117C"/>
    <w:rsid w:val="00D41258"/>
    <w:rsid w:val="00D43430"/>
    <w:rsid w:val="00D43441"/>
    <w:rsid w:val="00D439C3"/>
    <w:rsid w:val="00D43F3D"/>
    <w:rsid w:val="00D449C6"/>
    <w:rsid w:val="00D44A3B"/>
    <w:rsid w:val="00D451A0"/>
    <w:rsid w:val="00D451C2"/>
    <w:rsid w:val="00D45385"/>
    <w:rsid w:val="00D45C34"/>
    <w:rsid w:val="00D4777F"/>
    <w:rsid w:val="00D478D3"/>
    <w:rsid w:val="00D5062B"/>
    <w:rsid w:val="00D50B46"/>
    <w:rsid w:val="00D50B72"/>
    <w:rsid w:val="00D51867"/>
    <w:rsid w:val="00D51AC9"/>
    <w:rsid w:val="00D51AD4"/>
    <w:rsid w:val="00D52DBB"/>
    <w:rsid w:val="00D531B6"/>
    <w:rsid w:val="00D54B76"/>
    <w:rsid w:val="00D54E08"/>
    <w:rsid w:val="00D5508A"/>
    <w:rsid w:val="00D55828"/>
    <w:rsid w:val="00D55C1D"/>
    <w:rsid w:val="00D55FD4"/>
    <w:rsid w:val="00D56305"/>
    <w:rsid w:val="00D566F1"/>
    <w:rsid w:val="00D57388"/>
    <w:rsid w:val="00D5765B"/>
    <w:rsid w:val="00D61A0D"/>
    <w:rsid w:val="00D63F0E"/>
    <w:rsid w:val="00D63F45"/>
    <w:rsid w:val="00D64048"/>
    <w:rsid w:val="00D645A6"/>
    <w:rsid w:val="00D64E9D"/>
    <w:rsid w:val="00D65A11"/>
    <w:rsid w:val="00D65B91"/>
    <w:rsid w:val="00D66659"/>
    <w:rsid w:val="00D66CD5"/>
    <w:rsid w:val="00D6707F"/>
    <w:rsid w:val="00D67145"/>
    <w:rsid w:val="00D70FF2"/>
    <w:rsid w:val="00D7160F"/>
    <w:rsid w:val="00D7197E"/>
    <w:rsid w:val="00D71EB9"/>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7919"/>
    <w:rsid w:val="00D779D4"/>
    <w:rsid w:val="00D809ED"/>
    <w:rsid w:val="00D8158C"/>
    <w:rsid w:val="00D81ED6"/>
    <w:rsid w:val="00D82533"/>
    <w:rsid w:val="00D8359E"/>
    <w:rsid w:val="00D8512B"/>
    <w:rsid w:val="00D852FD"/>
    <w:rsid w:val="00D857FE"/>
    <w:rsid w:val="00D859D8"/>
    <w:rsid w:val="00D86F69"/>
    <w:rsid w:val="00D86F82"/>
    <w:rsid w:val="00D87458"/>
    <w:rsid w:val="00D87A74"/>
    <w:rsid w:val="00D901F7"/>
    <w:rsid w:val="00D90311"/>
    <w:rsid w:val="00D907F2"/>
    <w:rsid w:val="00D910E2"/>
    <w:rsid w:val="00D913F3"/>
    <w:rsid w:val="00D915FF"/>
    <w:rsid w:val="00D91CC6"/>
    <w:rsid w:val="00D92BBF"/>
    <w:rsid w:val="00D933F6"/>
    <w:rsid w:val="00D93F68"/>
    <w:rsid w:val="00D94010"/>
    <w:rsid w:val="00D948C4"/>
    <w:rsid w:val="00D94E85"/>
    <w:rsid w:val="00D95178"/>
    <w:rsid w:val="00D962CF"/>
    <w:rsid w:val="00D9652E"/>
    <w:rsid w:val="00D96531"/>
    <w:rsid w:val="00D968AD"/>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B9A"/>
    <w:rsid w:val="00DA6CF1"/>
    <w:rsid w:val="00DA77DE"/>
    <w:rsid w:val="00DB099F"/>
    <w:rsid w:val="00DB2AEF"/>
    <w:rsid w:val="00DB2B51"/>
    <w:rsid w:val="00DB341C"/>
    <w:rsid w:val="00DB382B"/>
    <w:rsid w:val="00DB4525"/>
    <w:rsid w:val="00DB47A5"/>
    <w:rsid w:val="00DB4D17"/>
    <w:rsid w:val="00DB6DD3"/>
    <w:rsid w:val="00DB79CB"/>
    <w:rsid w:val="00DB7CED"/>
    <w:rsid w:val="00DC09FC"/>
    <w:rsid w:val="00DC102C"/>
    <w:rsid w:val="00DC1E1B"/>
    <w:rsid w:val="00DC1EC8"/>
    <w:rsid w:val="00DC2E18"/>
    <w:rsid w:val="00DC30FE"/>
    <w:rsid w:val="00DC3512"/>
    <w:rsid w:val="00DC385E"/>
    <w:rsid w:val="00DC3EC8"/>
    <w:rsid w:val="00DC4068"/>
    <w:rsid w:val="00DC4145"/>
    <w:rsid w:val="00DC493B"/>
    <w:rsid w:val="00DC759F"/>
    <w:rsid w:val="00DD0B51"/>
    <w:rsid w:val="00DD0BE6"/>
    <w:rsid w:val="00DD1707"/>
    <w:rsid w:val="00DD1963"/>
    <w:rsid w:val="00DD1C59"/>
    <w:rsid w:val="00DD263C"/>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4EA8"/>
    <w:rsid w:val="00DE50FD"/>
    <w:rsid w:val="00DE587D"/>
    <w:rsid w:val="00DE6805"/>
    <w:rsid w:val="00DE7807"/>
    <w:rsid w:val="00DF0D0A"/>
    <w:rsid w:val="00DF1211"/>
    <w:rsid w:val="00DF1385"/>
    <w:rsid w:val="00DF1FB9"/>
    <w:rsid w:val="00DF2469"/>
    <w:rsid w:val="00DF2EB3"/>
    <w:rsid w:val="00DF316E"/>
    <w:rsid w:val="00DF38F4"/>
    <w:rsid w:val="00DF58E5"/>
    <w:rsid w:val="00DF5BC6"/>
    <w:rsid w:val="00DF6527"/>
    <w:rsid w:val="00DF79E1"/>
    <w:rsid w:val="00DF7E57"/>
    <w:rsid w:val="00E000D0"/>
    <w:rsid w:val="00E00F2E"/>
    <w:rsid w:val="00E01525"/>
    <w:rsid w:val="00E0160E"/>
    <w:rsid w:val="00E0186E"/>
    <w:rsid w:val="00E01FE1"/>
    <w:rsid w:val="00E024B2"/>
    <w:rsid w:val="00E025CC"/>
    <w:rsid w:val="00E02FCC"/>
    <w:rsid w:val="00E03063"/>
    <w:rsid w:val="00E036B3"/>
    <w:rsid w:val="00E044C5"/>
    <w:rsid w:val="00E051B1"/>
    <w:rsid w:val="00E057EA"/>
    <w:rsid w:val="00E05E00"/>
    <w:rsid w:val="00E06F09"/>
    <w:rsid w:val="00E06FAA"/>
    <w:rsid w:val="00E07AA2"/>
    <w:rsid w:val="00E1015B"/>
    <w:rsid w:val="00E106AE"/>
    <w:rsid w:val="00E10723"/>
    <w:rsid w:val="00E11236"/>
    <w:rsid w:val="00E1164D"/>
    <w:rsid w:val="00E11A5C"/>
    <w:rsid w:val="00E1223A"/>
    <w:rsid w:val="00E122A9"/>
    <w:rsid w:val="00E12447"/>
    <w:rsid w:val="00E12ABE"/>
    <w:rsid w:val="00E1415F"/>
    <w:rsid w:val="00E15141"/>
    <w:rsid w:val="00E15683"/>
    <w:rsid w:val="00E1603D"/>
    <w:rsid w:val="00E163D8"/>
    <w:rsid w:val="00E17778"/>
    <w:rsid w:val="00E1784D"/>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FAE"/>
    <w:rsid w:val="00E248F0"/>
    <w:rsid w:val="00E2796A"/>
    <w:rsid w:val="00E30003"/>
    <w:rsid w:val="00E313CE"/>
    <w:rsid w:val="00E31F09"/>
    <w:rsid w:val="00E320DB"/>
    <w:rsid w:val="00E32733"/>
    <w:rsid w:val="00E331D5"/>
    <w:rsid w:val="00E33AB2"/>
    <w:rsid w:val="00E33B65"/>
    <w:rsid w:val="00E33E69"/>
    <w:rsid w:val="00E3497F"/>
    <w:rsid w:val="00E34E6A"/>
    <w:rsid w:val="00E34F1E"/>
    <w:rsid w:val="00E35931"/>
    <w:rsid w:val="00E35D96"/>
    <w:rsid w:val="00E35F0A"/>
    <w:rsid w:val="00E363CF"/>
    <w:rsid w:val="00E36C49"/>
    <w:rsid w:val="00E36D49"/>
    <w:rsid w:val="00E36E14"/>
    <w:rsid w:val="00E37673"/>
    <w:rsid w:val="00E408E9"/>
    <w:rsid w:val="00E418F1"/>
    <w:rsid w:val="00E419DB"/>
    <w:rsid w:val="00E41C29"/>
    <w:rsid w:val="00E41D45"/>
    <w:rsid w:val="00E4238A"/>
    <w:rsid w:val="00E4324D"/>
    <w:rsid w:val="00E4443F"/>
    <w:rsid w:val="00E44935"/>
    <w:rsid w:val="00E4496D"/>
    <w:rsid w:val="00E4579A"/>
    <w:rsid w:val="00E46771"/>
    <w:rsid w:val="00E46C4C"/>
    <w:rsid w:val="00E46E0B"/>
    <w:rsid w:val="00E471ED"/>
    <w:rsid w:val="00E478DA"/>
    <w:rsid w:val="00E479FF"/>
    <w:rsid w:val="00E5076A"/>
    <w:rsid w:val="00E50E1F"/>
    <w:rsid w:val="00E5109D"/>
    <w:rsid w:val="00E528AD"/>
    <w:rsid w:val="00E52A22"/>
    <w:rsid w:val="00E53041"/>
    <w:rsid w:val="00E535C2"/>
    <w:rsid w:val="00E53728"/>
    <w:rsid w:val="00E5391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7E32"/>
    <w:rsid w:val="00E809C8"/>
    <w:rsid w:val="00E8173D"/>
    <w:rsid w:val="00E81B11"/>
    <w:rsid w:val="00E82FC8"/>
    <w:rsid w:val="00E834BF"/>
    <w:rsid w:val="00E83987"/>
    <w:rsid w:val="00E84CC4"/>
    <w:rsid w:val="00E855B1"/>
    <w:rsid w:val="00E86621"/>
    <w:rsid w:val="00E87BD5"/>
    <w:rsid w:val="00E87C5D"/>
    <w:rsid w:val="00E90B12"/>
    <w:rsid w:val="00E90D43"/>
    <w:rsid w:val="00E912B1"/>
    <w:rsid w:val="00E91EA0"/>
    <w:rsid w:val="00E921EF"/>
    <w:rsid w:val="00E927FD"/>
    <w:rsid w:val="00E92BF5"/>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B051D"/>
    <w:rsid w:val="00EB1072"/>
    <w:rsid w:val="00EB1A14"/>
    <w:rsid w:val="00EB2610"/>
    <w:rsid w:val="00EB2D92"/>
    <w:rsid w:val="00EB3229"/>
    <w:rsid w:val="00EB341F"/>
    <w:rsid w:val="00EB36B5"/>
    <w:rsid w:val="00EB43C4"/>
    <w:rsid w:val="00EB5C2A"/>
    <w:rsid w:val="00EB686E"/>
    <w:rsid w:val="00EB6974"/>
    <w:rsid w:val="00EB6D6E"/>
    <w:rsid w:val="00EB7570"/>
    <w:rsid w:val="00EB76BD"/>
    <w:rsid w:val="00EC05A9"/>
    <w:rsid w:val="00EC12D9"/>
    <w:rsid w:val="00EC2103"/>
    <w:rsid w:val="00EC27C8"/>
    <w:rsid w:val="00EC284D"/>
    <w:rsid w:val="00EC2BE5"/>
    <w:rsid w:val="00EC2CCA"/>
    <w:rsid w:val="00EC2E57"/>
    <w:rsid w:val="00EC2E71"/>
    <w:rsid w:val="00EC3A46"/>
    <w:rsid w:val="00EC4D53"/>
    <w:rsid w:val="00EC5347"/>
    <w:rsid w:val="00EC7215"/>
    <w:rsid w:val="00EC7371"/>
    <w:rsid w:val="00EC7652"/>
    <w:rsid w:val="00EC766D"/>
    <w:rsid w:val="00EC77DC"/>
    <w:rsid w:val="00EC7835"/>
    <w:rsid w:val="00ED05EB"/>
    <w:rsid w:val="00ED0D53"/>
    <w:rsid w:val="00ED0ED2"/>
    <w:rsid w:val="00ED25BD"/>
    <w:rsid w:val="00ED3133"/>
    <w:rsid w:val="00ED3605"/>
    <w:rsid w:val="00ED3C86"/>
    <w:rsid w:val="00ED3CE8"/>
    <w:rsid w:val="00ED47E4"/>
    <w:rsid w:val="00ED48A7"/>
    <w:rsid w:val="00ED4B01"/>
    <w:rsid w:val="00ED5511"/>
    <w:rsid w:val="00ED58AD"/>
    <w:rsid w:val="00ED5E13"/>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5363"/>
    <w:rsid w:val="00EF59B1"/>
    <w:rsid w:val="00EF59F2"/>
    <w:rsid w:val="00EF6176"/>
    <w:rsid w:val="00EF6E4E"/>
    <w:rsid w:val="00EF713B"/>
    <w:rsid w:val="00EF780A"/>
    <w:rsid w:val="00EF7B3E"/>
    <w:rsid w:val="00F0069B"/>
    <w:rsid w:val="00F01C37"/>
    <w:rsid w:val="00F01D44"/>
    <w:rsid w:val="00F01F24"/>
    <w:rsid w:val="00F02BF0"/>
    <w:rsid w:val="00F03C49"/>
    <w:rsid w:val="00F03F33"/>
    <w:rsid w:val="00F0432C"/>
    <w:rsid w:val="00F04516"/>
    <w:rsid w:val="00F06034"/>
    <w:rsid w:val="00F06EC9"/>
    <w:rsid w:val="00F0780D"/>
    <w:rsid w:val="00F07A6D"/>
    <w:rsid w:val="00F1097C"/>
    <w:rsid w:val="00F121F0"/>
    <w:rsid w:val="00F123F4"/>
    <w:rsid w:val="00F12DCF"/>
    <w:rsid w:val="00F12F63"/>
    <w:rsid w:val="00F1310D"/>
    <w:rsid w:val="00F133D6"/>
    <w:rsid w:val="00F13971"/>
    <w:rsid w:val="00F14133"/>
    <w:rsid w:val="00F144D6"/>
    <w:rsid w:val="00F14C5F"/>
    <w:rsid w:val="00F14FC4"/>
    <w:rsid w:val="00F1511E"/>
    <w:rsid w:val="00F15860"/>
    <w:rsid w:val="00F15A42"/>
    <w:rsid w:val="00F15DA5"/>
    <w:rsid w:val="00F16108"/>
    <w:rsid w:val="00F16136"/>
    <w:rsid w:val="00F16526"/>
    <w:rsid w:val="00F16D91"/>
    <w:rsid w:val="00F1705F"/>
    <w:rsid w:val="00F1756F"/>
    <w:rsid w:val="00F201FD"/>
    <w:rsid w:val="00F204E4"/>
    <w:rsid w:val="00F2085A"/>
    <w:rsid w:val="00F21B13"/>
    <w:rsid w:val="00F2227C"/>
    <w:rsid w:val="00F23548"/>
    <w:rsid w:val="00F2359A"/>
    <w:rsid w:val="00F2404C"/>
    <w:rsid w:val="00F2429E"/>
    <w:rsid w:val="00F25371"/>
    <w:rsid w:val="00F25545"/>
    <w:rsid w:val="00F265B9"/>
    <w:rsid w:val="00F266AA"/>
    <w:rsid w:val="00F2685A"/>
    <w:rsid w:val="00F2701E"/>
    <w:rsid w:val="00F27661"/>
    <w:rsid w:val="00F279BD"/>
    <w:rsid w:val="00F27F89"/>
    <w:rsid w:val="00F27FFD"/>
    <w:rsid w:val="00F3079C"/>
    <w:rsid w:val="00F3223F"/>
    <w:rsid w:val="00F32498"/>
    <w:rsid w:val="00F3267F"/>
    <w:rsid w:val="00F33779"/>
    <w:rsid w:val="00F33B9C"/>
    <w:rsid w:val="00F34050"/>
    <w:rsid w:val="00F340F6"/>
    <w:rsid w:val="00F34129"/>
    <w:rsid w:val="00F3424C"/>
    <w:rsid w:val="00F34397"/>
    <w:rsid w:val="00F354AA"/>
    <w:rsid w:val="00F35F09"/>
    <w:rsid w:val="00F37037"/>
    <w:rsid w:val="00F3771F"/>
    <w:rsid w:val="00F37869"/>
    <w:rsid w:val="00F37A08"/>
    <w:rsid w:val="00F37BB9"/>
    <w:rsid w:val="00F40B80"/>
    <w:rsid w:val="00F41721"/>
    <w:rsid w:val="00F41B49"/>
    <w:rsid w:val="00F423F0"/>
    <w:rsid w:val="00F42726"/>
    <w:rsid w:val="00F42C78"/>
    <w:rsid w:val="00F43C32"/>
    <w:rsid w:val="00F44601"/>
    <w:rsid w:val="00F453B6"/>
    <w:rsid w:val="00F45854"/>
    <w:rsid w:val="00F45D0C"/>
    <w:rsid w:val="00F460F1"/>
    <w:rsid w:val="00F468F2"/>
    <w:rsid w:val="00F4697F"/>
    <w:rsid w:val="00F46B56"/>
    <w:rsid w:val="00F46C8A"/>
    <w:rsid w:val="00F46D54"/>
    <w:rsid w:val="00F506AF"/>
    <w:rsid w:val="00F50DC4"/>
    <w:rsid w:val="00F524C0"/>
    <w:rsid w:val="00F52A72"/>
    <w:rsid w:val="00F53483"/>
    <w:rsid w:val="00F53548"/>
    <w:rsid w:val="00F5423E"/>
    <w:rsid w:val="00F54451"/>
    <w:rsid w:val="00F548BE"/>
    <w:rsid w:val="00F5528F"/>
    <w:rsid w:val="00F568B3"/>
    <w:rsid w:val="00F568CD"/>
    <w:rsid w:val="00F569C2"/>
    <w:rsid w:val="00F56A10"/>
    <w:rsid w:val="00F56AE4"/>
    <w:rsid w:val="00F5728D"/>
    <w:rsid w:val="00F57C62"/>
    <w:rsid w:val="00F57FC5"/>
    <w:rsid w:val="00F6000C"/>
    <w:rsid w:val="00F60859"/>
    <w:rsid w:val="00F61269"/>
    <w:rsid w:val="00F61976"/>
    <w:rsid w:val="00F626CD"/>
    <w:rsid w:val="00F62DFC"/>
    <w:rsid w:val="00F62F58"/>
    <w:rsid w:val="00F6340C"/>
    <w:rsid w:val="00F6362F"/>
    <w:rsid w:val="00F6381A"/>
    <w:rsid w:val="00F64095"/>
    <w:rsid w:val="00F6497A"/>
    <w:rsid w:val="00F65403"/>
    <w:rsid w:val="00F658BB"/>
    <w:rsid w:val="00F6598F"/>
    <w:rsid w:val="00F65E41"/>
    <w:rsid w:val="00F65FF3"/>
    <w:rsid w:val="00F66292"/>
    <w:rsid w:val="00F6694F"/>
    <w:rsid w:val="00F67026"/>
    <w:rsid w:val="00F70012"/>
    <w:rsid w:val="00F702ED"/>
    <w:rsid w:val="00F7048F"/>
    <w:rsid w:val="00F70A5D"/>
    <w:rsid w:val="00F70D04"/>
    <w:rsid w:val="00F71756"/>
    <w:rsid w:val="00F717ED"/>
    <w:rsid w:val="00F71F64"/>
    <w:rsid w:val="00F722AD"/>
    <w:rsid w:val="00F72370"/>
    <w:rsid w:val="00F724A0"/>
    <w:rsid w:val="00F72ED6"/>
    <w:rsid w:val="00F72EDE"/>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1E9"/>
    <w:rsid w:val="00F92790"/>
    <w:rsid w:val="00F92920"/>
    <w:rsid w:val="00F92A63"/>
    <w:rsid w:val="00F92ACA"/>
    <w:rsid w:val="00F92E7C"/>
    <w:rsid w:val="00F92EAB"/>
    <w:rsid w:val="00F93083"/>
    <w:rsid w:val="00F930D9"/>
    <w:rsid w:val="00F9322C"/>
    <w:rsid w:val="00F93EEE"/>
    <w:rsid w:val="00F954CA"/>
    <w:rsid w:val="00F95676"/>
    <w:rsid w:val="00F96280"/>
    <w:rsid w:val="00F96E84"/>
    <w:rsid w:val="00F97914"/>
    <w:rsid w:val="00FA01D4"/>
    <w:rsid w:val="00FA2BD7"/>
    <w:rsid w:val="00FA3BAD"/>
    <w:rsid w:val="00FA3F06"/>
    <w:rsid w:val="00FA4744"/>
    <w:rsid w:val="00FA6DE6"/>
    <w:rsid w:val="00FA6F37"/>
    <w:rsid w:val="00FA6FA7"/>
    <w:rsid w:val="00FA77CA"/>
    <w:rsid w:val="00FB0862"/>
    <w:rsid w:val="00FB119A"/>
    <w:rsid w:val="00FB1431"/>
    <w:rsid w:val="00FB162D"/>
    <w:rsid w:val="00FB181F"/>
    <w:rsid w:val="00FB1918"/>
    <w:rsid w:val="00FB1AE8"/>
    <w:rsid w:val="00FB1D7A"/>
    <w:rsid w:val="00FB24C0"/>
    <w:rsid w:val="00FB286E"/>
    <w:rsid w:val="00FB29B4"/>
    <w:rsid w:val="00FB2A18"/>
    <w:rsid w:val="00FB3F9C"/>
    <w:rsid w:val="00FB4206"/>
    <w:rsid w:val="00FB44EF"/>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201C"/>
    <w:rsid w:val="00FC2F98"/>
    <w:rsid w:val="00FC314B"/>
    <w:rsid w:val="00FC345D"/>
    <w:rsid w:val="00FC39CA"/>
    <w:rsid w:val="00FC3AE8"/>
    <w:rsid w:val="00FC4A41"/>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771"/>
    <w:rsid w:val="00FE0294"/>
    <w:rsid w:val="00FE18B4"/>
    <w:rsid w:val="00FE2C5C"/>
    <w:rsid w:val="00FE2F0E"/>
    <w:rsid w:val="00FE2F48"/>
    <w:rsid w:val="00FE37C2"/>
    <w:rsid w:val="00FE4F46"/>
    <w:rsid w:val="00FE5276"/>
    <w:rsid w:val="00FE606C"/>
    <w:rsid w:val="00FE66FB"/>
    <w:rsid w:val="00FE6FAA"/>
    <w:rsid w:val="00FE7053"/>
    <w:rsid w:val="00FE7495"/>
    <w:rsid w:val="00FE76F5"/>
    <w:rsid w:val="00FE7884"/>
    <w:rsid w:val="00FE7D12"/>
    <w:rsid w:val="00FF07DB"/>
    <w:rsid w:val="00FF3DBD"/>
    <w:rsid w:val="00FF4204"/>
    <w:rsid w:val="00FF4314"/>
    <w:rsid w:val="00FF456E"/>
    <w:rsid w:val="00FF4A19"/>
    <w:rsid w:val="00FF4CE2"/>
    <w:rsid w:val="00FF7533"/>
    <w:rsid w:val="01F0299B"/>
    <w:rsid w:val="026E4F91"/>
    <w:rsid w:val="041D095D"/>
    <w:rsid w:val="05C87DB9"/>
    <w:rsid w:val="0820461D"/>
    <w:rsid w:val="0961739E"/>
    <w:rsid w:val="098E6083"/>
    <w:rsid w:val="0B205B2B"/>
    <w:rsid w:val="0B782559"/>
    <w:rsid w:val="0C56100B"/>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CF652CD"/>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0C827FD"/>
    <w:rsid w:val="3157114E"/>
    <w:rsid w:val="31F2037F"/>
    <w:rsid w:val="32200152"/>
    <w:rsid w:val="329B11F6"/>
    <w:rsid w:val="336E087E"/>
    <w:rsid w:val="33C3087D"/>
    <w:rsid w:val="35961B12"/>
    <w:rsid w:val="364523AD"/>
    <w:rsid w:val="36700D38"/>
    <w:rsid w:val="36C4673D"/>
    <w:rsid w:val="37B10B63"/>
    <w:rsid w:val="37D17C49"/>
    <w:rsid w:val="38950836"/>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0312A"/>
    <w:rsid w:val="45D37D9B"/>
    <w:rsid w:val="48194FD5"/>
    <w:rsid w:val="484514CB"/>
    <w:rsid w:val="48C86EE1"/>
    <w:rsid w:val="49FA6EF8"/>
    <w:rsid w:val="4A784961"/>
    <w:rsid w:val="4ACF3A3C"/>
    <w:rsid w:val="4B1700DF"/>
    <w:rsid w:val="4F0F6A19"/>
    <w:rsid w:val="51D10A66"/>
    <w:rsid w:val="528A390F"/>
    <w:rsid w:val="528C6991"/>
    <w:rsid w:val="52C3297B"/>
    <w:rsid w:val="54054633"/>
    <w:rsid w:val="540605E4"/>
    <w:rsid w:val="547E7AF0"/>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9C42B56"/>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8"/>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99"/>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List"/>
    <w:basedOn w:val="1"/>
    <w:qFormat/>
    <w:uiPriority w:val="0"/>
    <w:pPr>
      <w:ind w:left="200" w:hanging="200" w:hangingChars="200"/>
    </w:pPr>
  </w:style>
  <w:style w:type="paragraph" w:styleId="39">
    <w:name w:val="footnote text"/>
    <w:basedOn w:val="1"/>
    <w:link w:val="482"/>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18"/>
    <w:next w:val="18"/>
    <w:link w:val="71"/>
    <w:qFormat/>
    <w:uiPriority w:val="0"/>
    <w:rPr>
      <w:b/>
      <w:bCs/>
    </w:rPr>
  </w:style>
  <w:style w:type="paragraph" w:styleId="49">
    <w:name w:val="Body Text First Indent"/>
    <w:basedOn w:val="20"/>
    <w:link w:val="73"/>
    <w:qFormat/>
    <w:uiPriority w:val="0"/>
    <w:pPr>
      <w:ind w:firstLine="420" w:firstLineChars="100"/>
    </w:pPr>
  </w:style>
  <w:style w:type="paragraph" w:styleId="50">
    <w:name w:val="Body Text First Indent 2"/>
    <w:basedOn w:val="21"/>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8"/>
    <w:qFormat/>
    <w:uiPriority w:val="9"/>
    <w:rPr>
      <w:rFonts w:ascii="Arial" w:hAnsi="Arial" w:eastAsia="黑体"/>
      <w:b/>
      <w:kern w:val="2"/>
      <w:sz w:val="24"/>
      <w:szCs w:val="24"/>
    </w:rPr>
  </w:style>
  <w:style w:type="character" w:customStyle="1" w:styleId="67">
    <w:name w:val="标题 7 Char1"/>
    <w:basedOn w:val="53"/>
    <w:link w:val="9"/>
    <w:qFormat/>
    <w:uiPriority w:val="9"/>
    <w:rPr>
      <w:b/>
      <w:kern w:val="2"/>
      <w:sz w:val="24"/>
      <w:szCs w:val="24"/>
    </w:rPr>
  </w:style>
  <w:style w:type="character" w:customStyle="1" w:styleId="68">
    <w:name w:val="标题 8 Char1"/>
    <w:basedOn w:val="53"/>
    <w:link w:val="10"/>
    <w:qFormat/>
    <w:uiPriority w:val="9"/>
    <w:rPr>
      <w:rFonts w:ascii="Arial" w:hAnsi="Arial" w:eastAsia="黑体"/>
      <w:kern w:val="2"/>
      <w:sz w:val="24"/>
      <w:szCs w:val="24"/>
    </w:rPr>
  </w:style>
  <w:style w:type="character" w:customStyle="1" w:styleId="69">
    <w:name w:val="标题 9 Char1"/>
    <w:basedOn w:val="53"/>
    <w:link w:val="11"/>
    <w:qFormat/>
    <w:uiPriority w:val="0"/>
    <w:rPr>
      <w:rFonts w:ascii="Arial" w:hAnsi="Arial" w:eastAsia="黑体"/>
      <w:kern w:val="2"/>
      <w:sz w:val="21"/>
      <w:szCs w:val="24"/>
    </w:rPr>
  </w:style>
  <w:style w:type="character" w:customStyle="1" w:styleId="70">
    <w:name w:val="批注文字 Char"/>
    <w:link w:val="18"/>
    <w:qFormat/>
    <w:uiPriority w:val="99"/>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20"/>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7"/>
    <w:qFormat/>
    <w:uiPriority w:val="0"/>
    <w:rPr>
      <w:kern w:val="2"/>
      <w:sz w:val="21"/>
      <w:szCs w:val="24"/>
      <w:shd w:val="clear" w:color="auto" w:fill="000080"/>
    </w:rPr>
  </w:style>
  <w:style w:type="character" w:customStyle="1" w:styleId="75">
    <w:name w:val="正文文本缩进 Char1"/>
    <w:basedOn w:val="53"/>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3"/>
    <w:link w:val="30"/>
    <w:qFormat/>
    <w:uiPriority w:val="99"/>
    <w:rPr>
      <w:kern w:val="2"/>
      <w:sz w:val="18"/>
      <w:szCs w:val="18"/>
    </w:rPr>
  </w:style>
  <w:style w:type="character" w:customStyle="1" w:styleId="79">
    <w:name w:val="页脚 Char"/>
    <w:basedOn w:val="53"/>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3"/>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5"/>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8"/>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4"/>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19"/>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6"/>
    <w:qFormat/>
    <w:uiPriority w:val="0"/>
    <w:rPr>
      <w:rFonts w:ascii="宋体" w:hAnsi="Courier New"/>
      <w:szCs w:val="20"/>
    </w:rPr>
  </w:style>
  <w:style w:type="paragraph" w:customStyle="1" w:styleId="484">
    <w:name w:val="Char Char Char Char2"/>
    <w:basedOn w:val="1"/>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EBB2A-B780-4BCA-957E-6E1AB5523690}">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67</Pages>
  <Words>6684</Words>
  <Characters>38102</Characters>
  <Lines>317</Lines>
  <Paragraphs>89</Paragraphs>
  <TotalTime>264</TotalTime>
  <ScaleCrop>false</ScaleCrop>
  <LinksUpToDate>false</LinksUpToDate>
  <CharactersWithSpaces>44697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2023-10-10T09:37:00Z</dcterms:created>
  <dc:creator>微软用户</dc:creator>
  <cp:lastModifiedBy> 哔哩哔哩小蘑菇</cp:lastModifiedBy>
  <cp:lastPrinted>2023-10-24T07:14:17Z</cp:lastPrinted>
  <dcterms:modified xsi:type="dcterms:W3CDTF">2023-10-24T07:38:39Z</dcterms:modified>
  <dc:title>招标编号：UHO2010-G0029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9BB1F160440D4B45A49BEB460BB1E352_13</vt:lpwstr>
  </property>
</Properties>
</file>