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柳州市工人医院麻醉临床信息系统维保需求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pStyle w:val="1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Chars="0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服务内容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kern w:val="2"/>
          <w:sz w:val="28"/>
          <w:szCs w:val="28"/>
        </w:rPr>
        <w:t>保障软件的正常运行，对软件中存在的缺陷进行升级和优化，确保软件的正常使用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kern w:val="2"/>
          <w:sz w:val="28"/>
          <w:szCs w:val="28"/>
        </w:rPr>
        <w:t>厂家不得向任何第三方泄露医院提供的有关数据资料；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kern w:val="2"/>
          <w:sz w:val="28"/>
          <w:szCs w:val="28"/>
        </w:rPr>
        <w:t>在维护期限内提供软件应用的支持和培训服务，包括远程电话支持、用户培训、故障维护等，具体说明如下：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（1）远程电话支持：电话7×24小时远程支持或软件技术问题解决；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2）故障维护：配合解决系统运行过程中由于网络、服务器、计算机、操作系统等原因所产生的软件无法正常运行的情况，保障系统的正常运行，并在完成故障处理后出具产品维护报告，包含问题的原因、解决办法及建议。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（3）软件正确性维护：软件运行过程中新发现的软件错误，负责维护并及时改进，同时提供软件维护说明；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（4）用户培训：负责软件更改后造成软件操作变化的使用培训，培训对象为医院的医生、护士、技术工程师、业务科室的关键用户，同时提供新功能使用说明；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（5）定时巡检：经医院许可，每季度进行一次定期现场巡检，对应用软件的软硬件环境进行检查，发现系统稳定运行的隐患因素并及时排除，出具系统巡检报告，内容包含巡检范围、结果及巡检建议。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6）需求的更新：保修期内与医院HIS、LIS、PACS、EMR、集成平台、互联网医院及其医院相关业务系统进行接口对接，配合实现医院电子病历系统功能应用水平分级评价达到6级以上评审、医院信息互联互通标准化成熟度测评达到四级甲等水平评审、JCI评审、三甲医院评审、HIMSS评审、三级等保测评以及医院其他需要评审的信息化技术改造要求，实现医院上级管理部门要求的系统接口对接要求。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（7）系统建设建议：系统在运行过程中，不定期地提供科室软件建设建议方案。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（8）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/>
        </w:rPr>
        <w:t>售后</w:t>
      </w:r>
      <w:r>
        <w:rPr>
          <w:rFonts w:hint="eastAsia" w:asciiTheme="minorEastAsia" w:hAnsiTheme="minorEastAsia" w:cstheme="minorEastAsia"/>
          <w:kern w:val="2"/>
          <w:sz w:val="28"/>
          <w:szCs w:val="28"/>
        </w:rPr>
        <w:t>响应：在维护期内，如软件系统故障，需在接到通知后30分钟内予以响应，共同协商解决方案。若需要工程师前往现场，除约定到达时间外，一般要求在4小时到达甲方指定现场。工程师在到达现场后，经现场调查后，除约定时间外，一般要求6小时内排除故障。如医院因需求修改要求工程师现场维护的，应在24小时内予以回应，给出具体解决方案和时间表，经医院批准后，遵照方案、时间表及约定执行。</w:t>
      </w:r>
    </w:p>
    <w:p>
      <w:pPr>
        <w:pStyle w:val="3"/>
        <w:spacing w:line="264" w:lineRule="auto"/>
        <w:rPr>
          <w:rFonts w:hint="eastAsia" w:asciiTheme="minorEastAsia" w:hAnsi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</w:rPr>
        <w:t>（9）文档管理：提供和完善相关服务工作文档（软件更新的内容说明和常见问题的解决方法说明）。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default" w:ascii="宋体" w:hAnsi="宋体" w:eastAsia="宋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  <w:t>服务期限：一年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default" w:ascii="宋体" w:hAnsi="宋体" w:eastAsia="宋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  <w:t>付款方式</w:t>
      </w:r>
    </w:p>
    <w:p>
      <w:pPr>
        <w:pStyle w:val="3"/>
        <w:spacing w:line="264" w:lineRule="auto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双方</w:t>
      </w:r>
      <w:r>
        <w:rPr>
          <w:rFonts w:hint="eastAsia" w:asciiTheme="minorEastAsia" w:hAnsiTheme="minorEastAsia" w:cstheme="minorEastAsia"/>
          <w:sz w:val="28"/>
          <w:szCs w:val="28"/>
        </w:rPr>
        <w:t>合同签订</w:t>
      </w:r>
      <w:r>
        <w:rPr>
          <w:rFonts w:hint="eastAsia" w:asciiTheme="minorEastAsia" w:hAnsiTheme="minorEastAsia" w:cstheme="minorEastAsia"/>
          <w:kern w:val="2"/>
          <w:sz w:val="28"/>
          <w:szCs w:val="28"/>
        </w:rPr>
        <w:t>之日起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/>
        </w:rPr>
        <w:t>十五</w:t>
      </w:r>
      <w:r>
        <w:rPr>
          <w:rFonts w:hint="eastAsia" w:asciiTheme="minorEastAsia" w:hAnsiTheme="minorEastAsia" w:cstheme="minorEastAsia"/>
          <w:kern w:val="2"/>
          <w:sz w:val="28"/>
          <w:szCs w:val="28"/>
        </w:rPr>
        <w:t>个工作日内，</w:t>
      </w:r>
      <w:r>
        <w:rPr>
          <w:rFonts w:hint="eastAsia" w:asciiTheme="minorEastAsia" w:hAnsiTheme="minorEastAsia" w:cstheme="minorEastAsia"/>
          <w:sz w:val="28"/>
          <w:szCs w:val="28"/>
        </w:rPr>
        <w:t>乙方开具服务费发票，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甲方收到乙方发票之日起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个工作日内支付给乙方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合同约定款项的100%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C5C6F"/>
    <w:multiLevelType w:val="multilevel"/>
    <w:tmpl w:val="23EC5C6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xNGE0OTZjNTY0MGI2MTEyZWM2ZThiMGFiZmIwNjYifQ=="/>
  </w:docVars>
  <w:rsids>
    <w:rsidRoot w:val="00100ED3"/>
    <w:rsid w:val="00100ED3"/>
    <w:rsid w:val="001F69DD"/>
    <w:rsid w:val="00292FE7"/>
    <w:rsid w:val="004B0554"/>
    <w:rsid w:val="00F33FCE"/>
    <w:rsid w:val="00FB13FE"/>
    <w:rsid w:val="1E4F7FAA"/>
    <w:rsid w:val="665723A3"/>
    <w:rsid w:val="76BE204A"/>
    <w:rsid w:val="7F4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  <w:lang w:val="zh-CN"/>
    </w:rPr>
  </w:style>
  <w:style w:type="paragraph" w:styleId="3">
    <w:name w:val="Plain Text"/>
    <w:basedOn w:val="1"/>
    <w:qFormat/>
    <w:uiPriority w:val="0"/>
    <w:pPr>
      <w:spacing w:line="240" w:lineRule="auto"/>
    </w:pPr>
    <w:rPr>
      <w:rFonts w:ascii="宋体" w:hAnsi="Courier New" w:eastAsia="宋体" w:cs="Times New Roman"/>
      <w:kern w:val="0"/>
      <w:sz w:val="20"/>
      <w:szCs w:val="20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805</Characters>
  <Lines>6</Lines>
  <Paragraphs>1</Paragraphs>
  <TotalTime>1</TotalTime>
  <ScaleCrop>false</ScaleCrop>
  <LinksUpToDate>false</LinksUpToDate>
  <CharactersWithSpaces>945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2020-05-21T07:35:00Z</dcterms:created>
  <dc:creator>000</dc:creator>
  <cp:lastModifiedBy>H</cp:lastModifiedBy>
  <dcterms:modified xsi:type="dcterms:W3CDTF">2023-10-11T01:52:39Z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7CE72E7EE21D4431979E314E0183E676_12</vt:lpwstr>
  </property>
</Properties>
</file>