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75"/>
        </w:tabs>
        <w:spacing w:line="480" w:lineRule="exact"/>
        <w:jc w:val="center"/>
        <w:rPr>
          <w:rFonts w:hint="eastAsia" w:ascii="仿宋" w:hAnsi="仿宋" w:eastAsia="仿宋" w:cs="仿宋"/>
          <w:b/>
          <w:sz w:val="36"/>
          <w:szCs w:val="36"/>
        </w:rPr>
      </w:pPr>
      <w:r>
        <w:rPr>
          <w:rFonts w:hint="eastAsia" w:ascii="仿宋" w:hAnsi="仿宋" w:eastAsia="仿宋" w:cs="仿宋"/>
          <w:b/>
          <w:sz w:val="36"/>
          <w:szCs w:val="36"/>
          <w:lang w:eastAsia="zh-CN"/>
        </w:rPr>
        <w:t>柳州市工人医院聘请2023-2025年度法律顾问项目需求</w:t>
      </w:r>
    </w:p>
    <w:p>
      <w:pPr>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w:t>
      </w:r>
      <w:r>
        <w:rPr>
          <w:rFonts w:hint="eastAsia" w:ascii="仿宋" w:hAnsi="仿宋" w:eastAsia="仿宋" w:cs="仿宋"/>
          <w:b/>
          <w:bCs/>
          <w:sz w:val="28"/>
          <w:szCs w:val="28"/>
        </w:rPr>
        <w:t>项目</w:t>
      </w:r>
      <w:r>
        <w:rPr>
          <w:rFonts w:hint="eastAsia" w:ascii="仿宋" w:hAnsi="仿宋" w:eastAsia="仿宋" w:cs="仿宋"/>
          <w:b/>
          <w:bCs/>
          <w:sz w:val="28"/>
          <w:szCs w:val="28"/>
          <w:lang w:eastAsia="zh-CN"/>
        </w:rPr>
        <w:t>名称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b w:val="0"/>
          <w:bCs w:val="0"/>
          <w:sz w:val="28"/>
          <w:szCs w:val="28"/>
          <w:lang w:val="en-US" w:eastAsia="zh-CN"/>
        </w:rPr>
        <w:t xml:space="preserve">    柳州市工人医院聘请2023-2025年度法律顾问项目</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二、项目概况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lang w:val="en-US" w:eastAsia="zh-CN"/>
        </w:rPr>
        <w:t xml:space="preserve"> 为保证我院法律服务的有效开展，拟聘用律师事务所律师1名作为我院法律顾问</w:t>
      </w:r>
      <w:r>
        <w:rPr>
          <w:rFonts w:hint="eastAsia" w:ascii="仿宋" w:hAnsi="仿宋" w:eastAsia="仿宋" w:cs="仿宋"/>
          <w:sz w:val="28"/>
          <w:szCs w:val="36"/>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三、投标人</w:t>
      </w:r>
      <w:r>
        <w:rPr>
          <w:rFonts w:hint="eastAsia" w:ascii="仿宋" w:hAnsi="仿宋" w:eastAsia="仿宋" w:cs="仿宋"/>
          <w:b/>
          <w:bCs/>
          <w:sz w:val="28"/>
          <w:szCs w:val="28"/>
          <w:lang w:val="en-US" w:eastAsia="zh-CN"/>
        </w:rPr>
        <w:t>/供应商资格条件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1、投标人需为国内注册（指按国家有关规定要求注册的）生产或经营本次招标采购货物</w:t>
      </w:r>
      <w:r>
        <w:rPr>
          <w:rFonts w:hint="eastAsia" w:ascii="仿宋" w:hAnsi="仿宋" w:eastAsia="仿宋" w:cs="仿宋"/>
          <w:sz w:val="28"/>
          <w:szCs w:val="28"/>
          <w:lang w:val="en-US" w:eastAsia="zh-CN"/>
        </w:rPr>
        <w:t>或</w:t>
      </w:r>
      <w:r>
        <w:rPr>
          <w:rFonts w:hint="eastAsia" w:ascii="仿宋" w:hAnsi="仿宋" w:eastAsia="仿宋" w:cs="仿宋"/>
          <w:sz w:val="28"/>
          <w:szCs w:val="28"/>
        </w:rPr>
        <w:t>服务</w:t>
      </w:r>
      <w:r>
        <w:rPr>
          <w:rFonts w:hint="eastAsia" w:ascii="仿宋" w:hAnsi="仿宋" w:eastAsia="仿宋" w:cs="仿宋"/>
          <w:sz w:val="28"/>
          <w:szCs w:val="28"/>
          <w:lang w:eastAsia="zh-CN"/>
        </w:rPr>
        <w:t>、</w:t>
      </w:r>
      <w:r>
        <w:rPr>
          <w:rFonts w:hint="eastAsia" w:ascii="仿宋" w:hAnsi="仿宋" w:eastAsia="仿宋" w:cs="仿宋"/>
          <w:sz w:val="28"/>
          <w:szCs w:val="28"/>
        </w:rPr>
        <w:t>具备法人资格的供应商。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2、投标人三年内在经营活动中没有重大违法记录和不良信用记录。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3、投标人有效的“营业执照”副本复印件。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4、投标人有效的“税务登记证”副本复印件。</w:t>
      </w:r>
    </w:p>
    <w:p>
      <w:pPr>
        <w:pStyle w:val="2"/>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投标人</w:t>
      </w:r>
      <w:r>
        <w:rPr>
          <w:rFonts w:hint="eastAsia" w:ascii="仿宋" w:hAnsi="仿宋" w:eastAsia="仿宋" w:cs="仿宋"/>
          <w:sz w:val="28"/>
          <w:szCs w:val="28"/>
          <w:lang w:val="en-US" w:eastAsia="zh-CN"/>
        </w:rPr>
        <w:t>具备有效的律师事务所执业许可证并经年检合格。</w:t>
      </w:r>
    </w:p>
    <w:p>
      <w:pPr>
        <w:rPr>
          <w:rFonts w:hint="default"/>
          <w:lang w:val="en-US" w:eastAsia="zh-CN"/>
        </w:rPr>
      </w:pPr>
      <w:r>
        <w:rPr>
          <w:rFonts w:hint="eastAsia" w:ascii="仿宋" w:hAnsi="仿宋" w:eastAsia="仿宋" w:cs="仿宋"/>
          <w:sz w:val="28"/>
          <w:szCs w:val="28"/>
          <w:lang w:val="en-US" w:eastAsia="zh-CN"/>
        </w:rPr>
        <w:t xml:space="preserve">    6、聘用律师：通过全国统一司法考试或法律职业资格考试，依法取得《律师执业证书》并经年检合格。</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四、项目内容</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sz w:val="28"/>
          <w:szCs w:val="28"/>
          <w:shd w:val="clear" w:color="auto" w:fill="FFFFFF"/>
          <w:lang w:eastAsia="zh-CN"/>
        </w:rPr>
      </w:pPr>
      <w:r>
        <w:rPr>
          <w:rFonts w:hint="eastAsia" w:ascii="仿宋_GB2312" w:hAnsi="仿宋_GB2312" w:eastAsia="仿宋_GB2312" w:cs="仿宋_GB2312"/>
          <w:sz w:val="28"/>
          <w:szCs w:val="28"/>
          <w:shd w:val="clear" w:color="auto" w:fill="FFFFFF"/>
          <w:lang w:val="en-US" w:eastAsia="zh-CN"/>
        </w:rPr>
        <w:t>1、法律服务范围及要求</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lang w:val="en-US" w:eastAsia="zh-CN"/>
        </w:rPr>
        <w:t>（1）参与院方法律风险防控工作，对院方经营、管理等方面的重大决策从法律上进行论证并提供法律意见和法律依据。</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lang w:val="en-US" w:eastAsia="zh-CN"/>
        </w:rPr>
        <w:t>（2）协助院方订立或完善管理的有关规章制度，对院方章程、内部运作流程、各项规章制度及各部门工作职责等文件进行梳理，提出具有可行性的法律意见。</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sz w:val="28"/>
          <w:szCs w:val="28"/>
          <w:shd w:val="clear" w:color="auto" w:fill="FFFFFF"/>
          <w:lang w:val="en-US" w:eastAsia="zh-CN"/>
        </w:rPr>
      </w:pPr>
      <w:r>
        <w:rPr>
          <w:rFonts w:hint="eastAsia" w:ascii="仿宋_GB2312" w:hAnsi="仿宋_GB2312" w:eastAsia="仿宋_GB2312" w:cs="仿宋_GB2312"/>
          <w:sz w:val="28"/>
          <w:szCs w:val="28"/>
          <w:shd w:val="clear" w:color="auto" w:fill="FFFFFF"/>
          <w:lang w:val="en-US" w:eastAsia="zh-CN"/>
        </w:rPr>
        <w:t>（3）定期到医院处理各类法律事务工作，有临时性工作的，需及时到院处理。</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sz w:val="28"/>
          <w:szCs w:val="28"/>
          <w:shd w:val="clear" w:color="auto" w:fill="FFFFFF"/>
          <w:lang w:val="en-US" w:eastAsia="zh-CN"/>
        </w:rPr>
      </w:pPr>
      <w:r>
        <w:rPr>
          <w:rFonts w:hint="eastAsia" w:ascii="仿宋_GB2312" w:hAnsi="仿宋_GB2312" w:eastAsia="仿宋_GB2312" w:cs="仿宋_GB2312"/>
          <w:sz w:val="28"/>
          <w:szCs w:val="28"/>
          <w:shd w:val="clear" w:color="auto" w:fill="FFFFFF"/>
          <w:lang w:val="en-US" w:eastAsia="zh-CN"/>
        </w:rPr>
        <w:t>（4）修改、审查各种合同、协议、其他法律文书；据实际工作需要，参与涉及本单位的重要合同的谈判。</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sz w:val="28"/>
          <w:szCs w:val="28"/>
          <w:shd w:val="clear" w:color="auto" w:fill="FFFFFF"/>
          <w:lang w:val="en-US" w:eastAsia="zh-CN"/>
        </w:rPr>
      </w:pPr>
      <w:r>
        <w:rPr>
          <w:rFonts w:hint="eastAsia" w:ascii="仿宋_GB2312" w:hAnsi="仿宋_GB2312" w:eastAsia="仿宋_GB2312" w:cs="仿宋_GB2312"/>
          <w:sz w:val="28"/>
          <w:szCs w:val="28"/>
          <w:shd w:val="clear" w:color="auto" w:fill="FFFFFF"/>
          <w:lang w:val="en-US" w:eastAsia="zh-CN"/>
        </w:rPr>
        <w:t>（5）经指派，以本单位法律顾问身份对特定事项进行调查、协调，并提出相关的法律意见。</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right="0" w:firstLine="560" w:firstLineChars="200"/>
        <w:textAlignment w:val="auto"/>
        <w:rPr>
          <w:rFonts w:hint="default" w:ascii="仿宋_GB2312" w:hAnsi="仿宋_GB2312" w:eastAsia="仿宋_GB2312" w:cs="仿宋_GB2312"/>
          <w:sz w:val="28"/>
          <w:szCs w:val="28"/>
          <w:shd w:val="clear" w:color="auto" w:fill="FFFFFF"/>
          <w:lang w:val="en-US" w:eastAsia="zh-CN"/>
        </w:rPr>
      </w:pPr>
      <w:r>
        <w:rPr>
          <w:rFonts w:hint="eastAsia" w:ascii="仿宋_GB2312" w:hAnsi="仿宋_GB2312" w:eastAsia="仿宋_GB2312" w:cs="仿宋_GB2312"/>
          <w:sz w:val="28"/>
          <w:szCs w:val="28"/>
          <w:shd w:val="clear" w:color="auto" w:fill="FFFFFF"/>
          <w:lang w:val="en-US" w:eastAsia="zh-CN"/>
        </w:rPr>
        <w:t>（6）出席本单位召集的需要法律顾问参加的会议，并提供相关法律意见。</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lang w:val="en-US" w:eastAsia="zh-CN"/>
        </w:rPr>
        <w:t>（7）协助院方对员工进行法治教育和法律培训。</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lang w:val="en-US" w:eastAsia="zh-CN"/>
        </w:rPr>
        <w:t>（8）受院方委托，</w:t>
      </w:r>
      <w:r>
        <w:rPr>
          <w:rFonts w:hint="default" w:ascii="仿宋_GB2312" w:hAnsi="仿宋_GB2312" w:eastAsia="仿宋_GB2312" w:cs="仿宋_GB2312"/>
          <w:sz w:val="28"/>
          <w:szCs w:val="28"/>
          <w:shd w:val="clear" w:color="auto" w:fill="FFFFFF"/>
          <w:lang w:val="en-US" w:eastAsia="zh-CN"/>
        </w:rPr>
        <w:t>代理院方参加或主持各种非诉讼调解。</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lang w:val="en-US" w:eastAsia="zh-CN"/>
        </w:rPr>
        <w:t>（9）受院方委托，</w:t>
      </w:r>
      <w:r>
        <w:rPr>
          <w:rFonts w:hint="default" w:ascii="仿宋_GB2312" w:hAnsi="仿宋_GB2312" w:eastAsia="仿宋_GB2312" w:cs="仿宋_GB2312"/>
          <w:sz w:val="28"/>
          <w:szCs w:val="28"/>
          <w:shd w:val="clear" w:color="auto" w:fill="FFFFFF"/>
          <w:lang w:val="en-US" w:eastAsia="zh-CN"/>
        </w:rPr>
        <w:t>代理院方参与诉讼、仲裁、行政争议和复议。</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lang w:val="en-US" w:eastAsia="zh-CN"/>
        </w:rPr>
        <w:t>（10）</w:t>
      </w:r>
      <w:r>
        <w:rPr>
          <w:rFonts w:hint="default" w:ascii="仿宋_GB2312" w:hAnsi="仿宋_GB2312" w:eastAsia="仿宋_GB2312" w:cs="仿宋_GB2312"/>
          <w:sz w:val="28"/>
          <w:szCs w:val="28"/>
          <w:shd w:val="clear" w:color="auto" w:fill="FFFFFF"/>
          <w:lang w:val="en-US" w:eastAsia="zh-CN"/>
        </w:rPr>
        <w:t>在委托范围内进行工作，不得超越委托代理权限。</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lang w:val="en-US" w:eastAsia="zh-CN"/>
        </w:rPr>
        <w:t>（11）</w:t>
      </w:r>
      <w:r>
        <w:rPr>
          <w:rFonts w:hint="default" w:ascii="仿宋_GB2312" w:hAnsi="仿宋_GB2312" w:eastAsia="仿宋_GB2312" w:cs="仿宋_GB2312"/>
          <w:sz w:val="28"/>
          <w:szCs w:val="28"/>
          <w:shd w:val="clear" w:color="auto" w:fill="FFFFFF"/>
          <w:lang w:val="en-US" w:eastAsia="zh-CN"/>
        </w:rPr>
        <w:t>不得从事有损于院方合法权益的活动，不得在同一法律活动中同时担任对方当事人的代理人。</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default" w:ascii="仿宋_GB2312" w:hAnsi="仿宋_GB2312" w:eastAsia="仿宋_GB2312" w:cs="仿宋_GB2312"/>
          <w:sz w:val="28"/>
          <w:szCs w:val="28"/>
          <w:shd w:val="clear" w:color="auto" w:fill="FFFFFF"/>
          <w:lang w:val="en-US" w:eastAsia="zh-CN"/>
        </w:rPr>
      </w:pPr>
      <w:r>
        <w:rPr>
          <w:rFonts w:hint="eastAsia" w:ascii="仿宋_GB2312" w:hAnsi="仿宋_GB2312" w:eastAsia="仿宋_GB2312" w:cs="仿宋_GB2312"/>
          <w:sz w:val="28"/>
          <w:szCs w:val="28"/>
          <w:shd w:val="clear" w:color="auto" w:fill="FFFFFF"/>
          <w:lang w:val="en-US" w:eastAsia="zh-CN"/>
        </w:rPr>
        <w:t>（12）</w:t>
      </w:r>
      <w:r>
        <w:rPr>
          <w:rFonts w:hint="default" w:ascii="仿宋_GB2312" w:hAnsi="仿宋_GB2312" w:eastAsia="仿宋_GB2312" w:cs="仿宋_GB2312"/>
          <w:sz w:val="28"/>
          <w:szCs w:val="28"/>
          <w:shd w:val="clear" w:color="auto" w:fill="FFFFFF"/>
          <w:lang w:val="en-US" w:eastAsia="zh-CN"/>
        </w:rPr>
        <w:t>对在工作中接触、了解的院方的业务秘密，负有保密责任。</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default" w:ascii="仿宋_GB2312" w:hAnsi="仿宋_GB2312" w:eastAsia="仿宋_GB2312" w:cs="仿宋_GB2312"/>
          <w:sz w:val="28"/>
          <w:szCs w:val="28"/>
          <w:shd w:val="clear" w:color="auto" w:fill="FFFFFF"/>
          <w:lang w:val="en-US" w:eastAsia="zh-CN"/>
        </w:rPr>
      </w:pPr>
      <w:r>
        <w:rPr>
          <w:rFonts w:hint="eastAsia" w:ascii="仿宋_GB2312" w:hAnsi="仿宋_GB2312" w:eastAsia="仿宋_GB2312" w:cs="仿宋_GB2312"/>
          <w:sz w:val="28"/>
          <w:szCs w:val="28"/>
          <w:shd w:val="clear" w:color="auto" w:fill="FFFFFF"/>
          <w:lang w:val="en-US" w:eastAsia="zh-CN"/>
        </w:rPr>
        <w:t>（13）</w:t>
      </w:r>
      <w:r>
        <w:rPr>
          <w:rFonts w:hint="default" w:ascii="仿宋_GB2312" w:hAnsi="仿宋_GB2312" w:eastAsia="仿宋_GB2312" w:cs="仿宋_GB2312"/>
          <w:sz w:val="28"/>
          <w:szCs w:val="28"/>
          <w:shd w:val="clear" w:color="auto" w:fill="FFFFFF"/>
          <w:lang w:val="en-US" w:eastAsia="zh-CN"/>
        </w:rPr>
        <w:t>院方交办的需要法律顾问办理的其他法律事务。</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sz w:val="28"/>
          <w:szCs w:val="28"/>
          <w:shd w:val="clear" w:color="auto" w:fill="FFFFFF"/>
          <w:lang w:val="en-US" w:eastAsia="zh-CN"/>
        </w:rPr>
      </w:pPr>
      <w:r>
        <w:rPr>
          <w:rFonts w:hint="eastAsia" w:ascii="仿宋_GB2312" w:hAnsi="仿宋_GB2312" w:eastAsia="仿宋_GB2312" w:cs="仿宋_GB2312"/>
          <w:sz w:val="28"/>
          <w:szCs w:val="28"/>
          <w:shd w:val="clear" w:color="auto" w:fill="FFFFFF"/>
          <w:lang w:val="en-US" w:eastAsia="zh-CN"/>
        </w:rPr>
        <w:t>2、法律顾问资质要求</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default" w:ascii="仿宋_GB2312" w:hAnsi="仿宋_GB2312" w:eastAsia="仿宋_GB2312" w:cs="仿宋_GB2312"/>
          <w:sz w:val="28"/>
          <w:szCs w:val="28"/>
          <w:shd w:val="clear" w:color="auto" w:fill="FFFFFF"/>
          <w:lang w:val="en-US" w:eastAsia="zh-CN"/>
        </w:rPr>
      </w:pPr>
      <w:r>
        <w:rPr>
          <w:rFonts w:hint="eastAsia" w:ascii="仿宋_GB2312" w:hAnsi="仿宋_GB2312" w:eastAsia="仿宋_GB2312" w:cs="仿宋_GB2312"/>
          <w:sz w:val="28"/>
          <w:szCs w:val="28"/>
          <w:shd w:val="clear" w:color="auto" w:fill="FFFFFF"/>
          <w:lang w:val="en-US" w:eastAsia="zh-CN"/>
        </w:rPr>
        <w:t>（1）法律顾问所在律师事务所需经司法行政部门批准依法成立并有效存续，成立时间3年以上，执业律师10人以上，近三年内无任何违法犯罪记录，合伙人及律所执业律师无任何不良执业记录、无受到司法行政部门或律师协会主管部门等机关的处罚。</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sz w:val="28"/>
          <w:szCs w:val="28"/>
          <w:shd w:val="clear" w:color="auto" w:fill="FFFFFF"/>
          <w:lang w:val="en-US" w:eastAsia="zh-CN"/>
        </w:rPr>
      </w:pPr>
      <w:r>
        <w:rPr>
          <w:rFonts w:hint="eastAsia" w:ascii="仿宋_GB2312" w:hAnsi="仿宋_GB2312" w:eastAsia="仿宋_GB2312" w:cs="仿宋_GB2312"/>
          <w:sz w:val="28"/>
          <w:szCs w:val="28"/>
          <w:shd w:val="clear" w:color="auto" w:fill="FFFFFF"/>
          <w:lang w:val="en-US" w:eastAsia="zh-CN"/>
        </w:rPr>
        <w:t>（2）法律顾问律师所在律师事务所须设立在柳州市区，能够根据招标人的要求或指示及时处理法律事务及其他杂项事务。</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sz w:val="28"/>
          <w:szCs w:val="28"/>
          <w:shd w:val="clear" w:color="auto" w:fill="FFFFFF"/>
          <w:lang w:val="en-US" w:eastAsia="zh-CN"/>
        </w:rPr>
      </w:pPr>
      <w:r>
        <w:rPr>
          <w:rFonts w:hint="eastAsia" w:ascii="仿宋_GB2312" w:hAnsi="仿宋_GB2312" w:eastAsia="仿宋_GB2312" w:cs="仿宋_GB2312"/>
          <w:sz w:val="28"/>
          <w:szCs w:val="28"/>
          <w:shd w:val="clear" w:color="auto" w:fill="FFFFFF"/>
          <w:lang w:val="en-US" w:eastAsia="zh-CN"/>
        </w:rPr>
        <w:t>（3）法律顾问律师应有10年以上执业经验，有担任大型国企、央企、医疗机构等事业单位法律顾问的服务履历，取得行业认可的执业荣誉律师优先考虑。</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default" w:ascii="仿宋_GB2312" w:hAnsi="仿宋_GB2312" w:eastAsia="仿宋_GB2312" w:cs="仿宋_GB2312"/>
          <w:sz w:val="28"/>
          <w:szCs w:val="28"/>
          <w:shd w:val="clear" w:color="auto" w:fill="FFFFFF"/>
          <w:lang w:val="en-US" w:eastAsia="zh-CN"/>
        </w:rPr>
      </w:pPr>
      <w:r>
        <w:rPr>
          <w:rFonts w:hint="eastAsia" w:ascii="仿宋_GB2312" w:hAnsi="仿宋_GB2312" w:eastAsia="仿宋_GB2312" w:cs="仿宋_GB2312"/>
          <w:sz w:val="28"/>
          <w:szCs w:val="28"/>
          <w:shd w:val="clear" w:color="auto" w:fill="FFFFFF"/>
          <w:lang w:val="en-US" w:eastAsia="zh-CN"/>
        </w:rPr>
        <w:t>（4）律师事务所指派的律师具有较强的沟通能力和业务能力，精于医疗、建设工程、劳动、债权债务等纠纷领域处理。</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default" w:ascii="仿宋_GB2312" w:hAnsi="仿宋_GB2312" w:eastAsia="仿宋_GB2312" w:cs="仿宋_GB2312"/>
          <w:sz w:val="28"/>
          <w:szCs w:val="28"/>
          <w:shd w:val="clear" w:color="auto" w:fill="FFFFFF"/>
          <w:lang w:val="en-US" w:eastAsia="zh-CN"/>
        </w:rPr>
      </w:pPr>
      <w:r>
        <w:rPr>
          <w:rFonts w:hint="eastAsia" w:ascii="仿宋_GB2312" w:hAnsi="仿宋_GB2312" w:eastAsia="仿宋_GB2312" w:cs="仿宋_GB2312"/>
          <w:sz w:val="28"/>
          <w:szCs w:val="28"/>
          <w:shd w:val="clear" w:color="auto" w:fill="FFFFFF"/>
          <w:lang w:val="en-US" w:eastAsia="zh-CN"/>
        </w:rPr>
        <w:t>3、所需要提供的材料</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sz w:val="28"/>
          <w:szCs w:val="28"/>
          <w:shd w:val="clear" w:color="auto" w:fill="FFFFFF"/>
          <w:lang w:val="en-US" w:eastAsia="zh-CN"/>
        </w:rPr>
      </w:pPr>
      <w:r>
        <w:rPr>
          <w:rFonts w:hint="eastAsia" w:ascii="仿宋_GB2312" w:hAnsi="仿宋_GB2312" w:eastAsia="仿宋_GB2312" w:cs="仿宋_GB2312"/>
          <w:sz w:val="28"/>
          <w:szCs w:val="28"/>
          <w:shd w:val="clear" w:color="auto" w:fill="FFFFFF"/>
          <w:lang w:val="en-US" w:eastAsia="zh-CN"/>
        </w:rPr>
        <w:t>（1）律师事务所营业执照及律所及指派律师的介绍</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default" w:ascii="仿宋_GB2312" w:hAnsi="仿宋_GB2312" w:eastAsia="仿宋_GB2312" w:cs="仿宋_GB2312"/>
          <w:sz w:val="28"/>
          <w:szCs w:val="28"/>
          <w:shd w:val="clear" w:color="auto" w:fill="FFFFFF"/>
          <w:lang w:val="en-US" w:eastAsia="zh-CN"/>
        </w:rPr>
      </w:pPr>
      <w:r>
        <w:rPr>
          <w:rFonts w:hint="eastAsia" w:ascii="仿宋_GB2312" w:hAnsi="仿宋_GB2312" w:eastAsia="仿宋_GB2312" w:cs="仿宋_GB2312"/>
          <w:sz w:val="28"/>
          <w:szCs w:val="28"/>
          <w:shd w:val="clear" w:color="auto" w:fill="FFFFFF"/>
          <w:lang w:val="en-US" w:eastAsia="zh-CN"/>
        </w:rPr>
        <w:t>（2）法律顾问服务工作方案、收费标准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五、报价要求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1、</w:t>
      </w:r>
      <w:r>
        <w:rPr>
          <w:rFonts w:hint="eastAsia" w:ascii="仿宋" w:hAnsi="仿宋" w:eastAsia="仿宋" w:cs="仿宋"/>
          <w:color w:val="auto"/>
          <w:kern w:val="2"/>
          <w:sz w:val="28"/>
          <w:szCs w:val="28"/>
          <w:lang w:val="en-US" w:eastAsia="zh-CN" w:bidi="ar-SA"/>
        </w:rPr>
        <w:t>报价含人工费、材料费、管理费、税金等为完成本项目所需的所有费用，在实施期间不因市场因素而变动。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color w:val="auto"/>
          <w:kern w:val="2"/>
          <w:sz w:val="28"/>
          <w:szCs w:val="28"/>
          <w:lang w:val="en-US" w:eastAsia="zh-CN" w:bidi="ar-SA"/>
        </w:rPr>
        <w:t>3、报价人需按项目内容按年度进行整体报价。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六、合同期及结算方式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1、本项目招3年，合同一年一签</w:t>
      </w:r>
      <w:r>
        <w:rPr>
          <w:rFonts w:hint="eastAsia" w:ascii="仿宋" w:hAnsi="仿宋" w:eastAsia="仿宋" w:cs="仿宋"/>
          <w:sz w:val="28"/>
          <w:szCs w:val="28"/>
          <w:highlight w:val="none"/>
          <w:lang w:val="en-US" w:eastAsia="zh-CN"/>
        </w:rPr>
        <w:t>；院方每年一考核，考核通过可续签合同。</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highlight w:val="none"/>
          <w:lang w:val="en-US" w:eastAsia="zh-CN"/>
        </w:rPr>
        <w:t>结算方式</w:t>
      </w:r>
      <w:r>
        <w:rPr>
          <w:rFonts w:hint="eastAsia" w:ascii="仿宋" w:hAnsi="仿宋" w:eastAsia="仿宋" w:cs="仿宋"/>
          <w:sz w:val="28"/>
          <w:szCs w:val="28"/>
          <w:lang w:val="en-US" w:eastAsia="zh-CN"/>
        </w:rPr>
        <w:t>：合同到期后按年度支付。差旅费按医院在职人员报销标准可另行计算，按实际支付。</w:t>
      </w:r>
    </w:p>
    <w:p>
      <w:pPr>
        <w:rPr>
          <w:rFonts w:hint="default"/>
          <w:sz w:val="24"/>
          <w:szCs w:val="24"/>
          <w:lang w:val="en-US" w:eastAsia="zh-CN"/>
        </w:rPr>
      </w:pPr>
      <w:bookmarkStart w:id="0" w:name="_GoBack"/>
      <w:bookmarkEnd w:id="0"/>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iMGY4NmNhMDhkMjYzNmFmNDBjOTk1MWFhYjgxM2UifQ=="/>
  </w:docVars>
  <w:rsids>
    <w:rsidRoot w:val="53C91D89"/>
    <w:rsid w:val="010951A7"/>
    <w:rsid w:val="02633D83"/>
    <w:rsid w:val="029006F1"/>
    <w:rsid w:val="03435C52"/>
    <w:rsid w:val="041744FB"/>
    <w:rsid w:val="042621F8"/>
    <w:rsid w:val="047E1FB9"/>
    <w:rsid w:val="05287C05"/>
    <w:rsid w:val="05B0028B"/>
    <w:rsid w:val="05C74289"/>
    <w:rsid w:val="061E3F1F"/>
    <w:rsid w:val="06D663A6"/>
    <w:rsid w:val="07664AA9"/>
    <w:rsid w:val="080F2C79"/>
    <w:rsid w:val="0891734B"/>
    <w:rsid w:val="09280A33"/>
    <w:rsid w:val="0AA01CBB"/>
    <w:rsid w:val="0AD409A0"/>
    <w:rsid w:val="0C126BE9"/>
    <w:rsid w:val="0C29450A"/>
    <w:rsid w:val="0D052F8B"/>
    <w:rsid w:val="0DEC388F"/>
    <w:rsid w:val="0DFB3956"/>
    <w:rsid w:val="0E1F0604"/>
    <w:rsid w:val="0F9A511E"/>
    <w:rsid w:val="0FD86801"/>
    <w:rsid w:val="11424D1C"/>
    <w:rsid w:val="11634099"/>
    <w:rsid w:val="12437AFC"/>
    <w:rsid w:val="128571E5"/>
    <w:rsid w:val="139F4F81"/>
    <w:rsid w:val="158A71B2"/>
    <w:rsid w:val="16101500"/>
    <w:rsid w:val="171C1FFC"/>
    <w:rsid w:val="17AA5816"/>
    <w:rsid w:val="17CB6A54"/>
    <w:rsid w:val="17F07302"/>
    <w:rsid w:val="19AB7B33"/>
    <w:rsid w:val="1BEA4A24"/>
    <w:rsid w:val="1C52663A"/>
    <w:rsid w:val="1C984B89"/>
    <w:rsid w:val="1CBE4E69"/>
    <w:rsid w:val="1D367EFB"/>
    <w:rsid w:val="1D88122F"/>
    <w:rsid w:val="1E1D2544"/>
    <w:rsid w:val="1E8D39BD"/>
    <w:rsid w:val="1F7B2D1C"/>
    <w:rsid w:val="1FBD62B1"/>
    <w:rsid w:val="20247F7B"/>
    <w:rsid w:val="20B16B03"/>
    <w:rsid w:val="219B01F8"/>
    <w:rsid w:val="21A07DC1"/>
    <w:rsid w:val="222909A3"/>
    <w:rsid w:val="22E362D2"/>
    <w:rsid w:val="26D52249"/>
    <w:rsid w:val="28865645"/>
    <w:rsid w:val="29A7409E"/>
    <w:rsid w:val="2C022C0C"/>
    <w:rsid w:val="2CB404AC"/>
    <w:rsid w:val="2CDF3794"/>
    <w:rsid w:val="2DC82F69"/>
    <w:rsid w:val="2E852EAB"/>
    <w:rsid w:val="2FC63D74"/>
    <w:rsid w:val="30D0413E"/>
    <w:rsid w:val="31040C94"/>
    <w:rsid w:val="319260B8"/>
    <w:rsid w:val="31F22A68"/>
    <w:rsid w:val="34272BB6"/>
    <w:rsid w:val="34D91454"/>
    <w:rsid w:val="34EA3E63"/>
    <w:rsid w:val="35191A3B"/>
    <w:rsid w:val="35A43A2E"/>
    <w:rsid w:val="35AC53AF"/>
    <w:rsid w:val="36692286"/>
    <w:rsid w:val="386F1A17"/>
    <w:rsid w:val="3A157984"/>
    <w:rsid w:val="3DC06B98"/>
    <w:rsid w:val="3E2C4BB7"/>
    <w:rsid w:val="3E4B5333"/>
    <w:rsid w:val="3F664045"/>
    <w:rsid w:val="40012417"/>
    <w:rsid w:val="40D46D12"/>
    <w:rsid w:val="413A00E1"/>
    <w:rsid w:val="416B2E63"/>
    <w:rsid w:val="4172433C"/>
    <w:rsid w:val="417D3E89"/>
    <w:rsid w:val="419A0FA7"/>
    <w:rsid w:val="421C47E7"/>
    <w:rsid w:val="4233749A"/>
    <w:rsid w:val="42B208A8"/>
    <w:rsid w:val="44E1092B"/>
    <w:rsid w:val="45085EB8"/>
    <w:rsid w:val="45960004"/>
    <w:rsid w:val="46F86693"/>
    <w:rsid w:val="47A37881"/>
    <w:rsid w:val="47F24951"/>
    <w:rsid w:val="481E5360"/>
    <w:rsid w:val="485C4F2C"/>
    <w:rsid w:val="489B4B75"/>
    <w:rsid w:val="49634BF7"/>
    <w:rsid w:val="496E1FF8"/>
    <w:rsid w:val="4A1F5604"/>
    <w:rsid w:val="4D1B00DF"/>
    <w:rsid w:val="4FF57096"/>
    <w:rsid w:val="50E85F0B"/>
    <w:rsid w:val="52F3051F"/>
    <w:rsid w:val="53704151"/>
    <w:rsid w:val="53C91D89"/>
    <w:rsid w:val="54F21A55"/>
    <w:rsid w:val="55617B80"/>
    <w:rsid w:val="56173FB4"/>
    <w:rsid w:val="561D501A"/>
    <w:rsid w:val="56515FE9"/>
    <w:rsid w:val="584F45ED"/>
    <w:rsid w:val="59666F1C"/>
    <w:rsid w:val="5A447D2A"/>
    <w:rsid w:val="5AF72D43"/>
    <w:rsid w:val="5B3F6E48"/>
    <w:rsid w:val="5C9F2BA9"/>
    <w:rsid w:val="5CB3223D"/>
    <w:rsid w:val="5CEF488A"/>
    <w:rsid w:val="5E40418F"/>
    <w:rsid w:val="5F442227"/>
    <w:rsid w:val="607F7AD3"/>
    <w:rsid w:val="608C48A6"/>
    <w:rsid w:val="60DB5A01"/>
    <w:rsid w:val="623A7395"/>
    <w:rsid w:val="627438C2"/>
    <w:rsid w:val="628C4550"/>
    <w:rsid w:val="63814B5D"/>
    <w:rsid w:val="638F4BB5"/>
    <w:rsid w:val="65BB267B"/>
    <w:rsid w:val="67CC00DD"/>
    <w:rsid w:val="680C7FB1"/>
    <w:rsid w:val="6A9553E1"/>
    <w:rsid w:val="6A9B7D71"/>
    <w:rsid w:val="6AE954B5"/>
    <w:rsid w:val="6BA044C1"/>
    <w:rsid w:val="6BF10C16"/>
    <w:rsid w:val="6C775AF2"/>
    <w:rsid w:val="6E5E469C"/>
    <w:rsid w:val="6F0453DE"/>
    <w:rsid w:val="6F250725"/>
    <w:rsid w:val="6F395FEB"/>
    <w:rsid w:val="717766ED"/>
    <w:rsid w:val="72625B8C"/>
    <w:rsid w:val="72AA5C53"/>
    <w:rsid w:val="73BB4BC8"/>
    <w:rsid w:val="74191499"/>
    <w:rsid w:val="74607426"/>
    <w:rsid w:val="74C13C0D"/>
    <w:rsid w:val="76C91732"/>
    <w:rsid w:val="77DD02F3"/>
    <w:rsid w:val="789C5392"/>
    <w:rsid w:val="78A05FEB"/>
    <w:rsid w:val="79562EED"/>
    <w:rsid w:val="7A0301F9"/>
    <w:rsid w:val="7A0C4707"/>
    <w:rsid w:val="7AC124B5"/>
    <w:rsid w:val="7AF9322A"/>
    <w:rsid w:val="7B161079"/>
    <w:rsid w:val="7B6660C0"/>
    <w:rsid w:val="7B7D10C7"/>
    <w:rsid w:val="7CAF0D43"/>
    <w:rsid w:val="7CC12FE9"/>
    <w:rsid w:val="7CDB5105"/>
    <w:rsid w:val="7CED43DB"/>
    <w:rsid w:val="7D0A0C4E"/>
    <w:rsid w:val="7DBC3A33"/>
    <w:rsid w:val="7DBF734F"/>
    <w:rsid w:val="7DFD69D9"/>
    <w:rsid w:val="7E6C177D"/>
    <w:rsid w:val="7EBE43C7"/>
    <w:rsid w:val="7FE66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line="380" w:lineRule="exact"/>
    </w:pPr>
    <w:rPr>
      <w:rFonts w:ascii="Times New Roman" w:hAnsi="Times New Roman" w:eastAsia="宋体" w:cs="Times New Roman"/>
      <w:sz w:val="24"/>
      <w:szCs w:val="24"/>
    </w:rPr>
  </w:style>
  <w:style w:type="paragraph" w:styleId="3">
    <w:name w:val="index 8"/>
    <w:basedOn w:val="1"/>
    <w:next w:val="1"/>
    <w:qFormat/>
    <w:uiPriority w:val="0"/>
    <w:pPr>
      <w:ind w:left="0" w:leftChars="0"/>
      <w:jc w:val="left"/>
    </w:pPr>
    <w:rPr>
      <w:rFonts w:ascii="Times New Roman" w:hAnsi="Times New Roman"/>
    </w:rPr>
  </w:style>
  <w:style w:type="paragraph" w:styleId="4">
    <w:name w:val="annotation text"/>
    <w:basedOn w:val="1"/>
    <w:unhideWhenUsed/>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 Char Char Char Char Char Char1 Char"/>
    <w:basedOn w:val="1"/>
    <w:qFormat/>
    <w:uiPriority w:val="0"/>
    <w:rPr>
      <w:sz w:val="24"/>
      <w:szCs w:val="24"/>
    </w:rPr>
  </w:style>
  <w:style w:type="character" w:customStyle="1" w:styleId="12">
    <w:name w:val="font21"/>
    <w:basedOn w:val="10"/>
    <w:qFormat/>
    <w:uiPriority w:val="0"/>
    <w:rPr>
      <w:rFonts w:hint="eastAsia" w:ascii="宋体" w:hAnsi="宋体" w:eastAsia="宋体" w:cs="宋体"/>
      <w:color w:val="000000"/>
      <w:sz w:val="24"/>
      <w:szCs w:val="24"/>
      <w:u w:val="none"/>
    </w:rPr>
  </w:style>
  <w:style w:type="character" w:customStyle="1" w:styleId="13">
    <w:name w:val="font31"/>
    <w:basedOn w:val="10"/>
    <w:qFormat/>
    <w:uiPriority w:val="0"/>
    <w:rPr>
      <w:rFonts w:hint="default" w:ascii="Times New Roman" w:hAnsi="Times New Roman" w:cs="Times New Roman"/>
      <w:color w:val="000000"/>
      <w:sz w:val="22"/>
      <w:szCs w:val="22"/>
      <w:u w:val="none"/>
    </w:rPr>
  </w:style>
  <w:style w:type="character" w:customStyle="1" w:styleId="14">
    <w:name w:val="font41"/>
    <w:basedOn w:val="10"/>
    <w:qFormat/>
    <w:uiPriority w:val="0"/>
    <w:rPr>
      <w:rFonts w:hint="eastAsia" w:ascii="宋体" w:hAnsi="宋体" w:eastAsia="宋体" w:cs="宋体"/>
      <w:color w:val="000000"/>
      <w:sz w:val="22"/>
      <w:szCs w:val="22"/>
      <w:u w:val="none"/>
    </w:rPr>
  </w:style>
  <w:style w:type="paragraph" w:customStyle="1" w:styleId="15">
    <w:name w:val="正文2"/>
    <w:basedOn w:val="1"/>
    <w:qFormat/>
    <w:uiPriority w:val="0"/>
    <w:pPr>
      <w:spacing w:before="156" w:line="360" w:lineRule="auto"/>
      <w:ind w:firstLine="510" w:firstLineChars="200"/>
    </w:pPr>
    <w:rPr>
      <w:sz w:val="24"/>
    </w:rPr>
  </w:style>
  <w:style w:type="character" w:customStyle="1" w:styleId="16">
    <w:name w:val="font11"/>
    <w:basedOn w:val="10"/>
    <w:qFormat/>
    <w:uiPriority w:val="0"/>
    <w:rPr>
      <w:rFonts w:hint="eastAsia" w:ascii="宋体" w:hAnsi="宋体" w:eastAsia="宋体" w:cs="宋体"/>
      <w:color w:val="000000"/>
      <w:sz w:val="22"/>
      <w:szCs w:val="22"/>
      <w:u w:val="none"/>
    </w:rPr>
  </w:style>
  <w:style w:type="character" w:customStyle="1" w:styleId="17">
    <w:name w:val="font121"/>
    <w:basedOn w:val="10"/>
    <w:qFormat/>
    <w:uiPriority w:val="0"/>
    <w:rPr>
      <w:rFonts w:hint="eastAsia" w:ascii="宋体" w:hAnsi="宋体" w:eastAsia="宋体" w:cs="宋体"/>
      <w:color w:val="000000"/>
      <w:sz w:val="20"/>
      <w:szCs w:val="20"/>
      <w:u w:val="none"/>
    </w:rPr>
  </w:style>
  <w:style w:type="character" w:customStyle="1" w:styleId="18">
    <w:name w:val="font6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1272</Words>
  <Characters>1308</Characters>
  <Lines>0</Lines>
  <Paragraphs>0</Paragraphs>
  <TotalTime>1</TotalTime>
  <ScaleCrop>false</ScaleCrop>
  <LinksUpToDate>false</LinksUpToDate>
  <CharactersWithSpaces>1394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Administrator</cp:lastModifiedBy>
  <cp:lastPrinted>2022-10-11T11:07:00Z</cp:lastPrinted>
  <dcterms:modified xsi:type="dcterms:W3CDTF">2023-08-04T08:58:19Z</dcterms:modified>
  <dc:title>关于西院门诊住院综合楼大堂采光井电动百叶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303C7FE9B2EA46888E913A83EEE81B7B_13</vt:lpwstr>
  </property>
</Properties>
</file>