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0AB" w:rsidRPr="001472FA" w:rsidRDefault="001472F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472FA">
        <w:rPr>
          <w:rFonts w:asciiTheme="minorEastAsia" w:eastAsiaTheme="minorEastAsia" w:hAnsiTheme="minorEastAsia" w:cs="宋体" w:hint="eastAsia"/>
          <w:bCs/>
          <w:sz w:val="32"/>
          <w:szCs w:val="32"/>
        </w:rPr>
        <w:t>氧化电位水生成器</w:t>
      </w:r>
      <w:r w:rsidR="00000000" w:rsidRPr="001472FA">
        <w:rPr>
          <w:rFonts w:asciiTheme="minorEastAsia" w:eastAsiaTheme="minorEastAsia" w:hAnsiTheme="minorEastAsia" w:hint="eastAsia"/>
          <w:sz w:val="32"/>
          <w:szCs w:val="32"/>
        </w:rPr>
        <w:t>技术参数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1.生成的氧化电位水性状及理化指标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1）有效氯浓度：在50～100mg/L范围内。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2 ）PH值：在4.5～7.0范围内可调。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3）氧化还原电位(ORP)≥</w:t>
      </w:r>
      <w:r>
        <w:rPr>
          <w:rFonts w:cs="宋体" w:hint="eastAsia"/>
          <w:kern w:val="0"/>
          <w:sz w:val="18"/>
          <w:szCs w:val="18"/>
          <w:lang w:bidi="ar"/>
        </w:rPr>
        <w:t>60</w:t>
      </w:r>
      <w:r>
        <w:rPr>
          <w:rFonts w:ascii="宋体" w:hAnsi="宋体" w:cs="宋体" w:hint="eastAsia"/>
          <w:kern w:val="0"/>
          <w:sz w:val="18"/>
          <w:szCs w:val="18"/>
          <w:lang w:bidi="ar"/>
        </w:rPr>
        <w:t>0mV。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4）残余氯离子＜</w:t>
      </w:r>
      <w:r>
        <w:rPr>
          <w:rFonts w:cs="宋体" w:hint="eastAsia"/>
          <w:kern w:val="0"/>
          <w:sz w:val="18"/>
          <w:szCs w:val="18"/>
          <w:lang w:bidi="ar"/>
        </w:rPr>
        <w:t>2</w:t>
      </w:r>
      <w:r>
        <w:rPr>
          <w:rFonts w:ascii="宋体" w:hAnsi="宋体" w:cs="宋体" w:hint="eastAsia"/>
          <w:kern w:val="0"/>
          <w:sz w:val="18"/>
          <w:szCs w:val="18"/>
          <w:lang w:bidi="ar"/>
        </w:rPr>
        <w:t>00mg/L。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5）稳定性：室温、避光保存，开放状态下有效期为72小时。有效氯、PH、还原电位和残余氯离子符合上述性能要求。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2.设备操作性能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1 ）设备应具有开机自检功能，自检通过后，设备应进入待机状态。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2）设备显示器及操作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a) 设备具有中文操作程序；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b) 操作过程有实时提示或显示；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c) 应具有操作错误提示和报警功能；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d) 电解电流和流量能实时显示。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3）报警功能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a) 电解质液面低于设定高度时，具有自动报警功能；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b) 储水罐的消毒</w:t>
      </w:r>
      <w:proofErr w:type="gramStart"/>
      <w:r>
        <w:rPr>
          <w:rFonts w:ascii="宋体" w:hAnsi="宋体" w:cs="宋体" w:hint="eastAsia"/>
          <w:kern w:val="0"/>
          <w:sz w:val="18"/>
          <w:szCs w:val="18"/>
          <w:lang w:bidi="ar"/>
        </w:rPr>
        <w:t>液达到</w:t>
      </w:r>
      <w:proofErr w:type="gramEnd"/>
      <w:r>
        <w:rPr>
          <w:rFonts w:ascii="宋体" w:hAnsi="宋体" w:cs="宋体" w:hint="eastAsia"/>
          <w:kern w:val="0"/>
          <w:sz w:val="18"/>
          <w:szCs w:val="18"/>
          <w:lang w:bidi="ar"/>
        </w:rPr>
        <w:t>设定液面，设备有提示并自动停止运行；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c) 无进水或进水流量低于最低限度时，设备有提示并自动运行；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4）电解液最大生成量：不小于4000mL/min。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3.设备具有过热自动保护功能，主机或主板温度超过60°C时，设备自动停止运行。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4．具有定时功能：可设定时间范围至少为0～240分钟可调。</w:t>
      </w:r>
    </w:p>
    <w:p w:rsidR="004E60AB" w:rsidRDefault="00000000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  <w:lang w:bidi="ar"/>
        </w:rPr>
        <w:t>5．消毒杀菌效果应符合GB 28234-2020杀灭微生物的技术要求。</w:t>
      </w:r>
    </w:p>
    <w:p w:rsidR="004E60AB" w:rsidRDefault="00000000">
      <w:pPr>
        <w:widowControl/>
        <w:jc w:val="left"/>
        <w:rPr>
          <w:rFonts w:ascii="宋体" w:hAnsi="宋体" w:cs="宋体"/>
          <w:kern w:val="0"/>
          <w:sz w:val="18"/>
          <w:szCs w:val="18"/>
          <w:lang w:bidi="ar"/>
        </w:rPr>
      </w:pPr>
      <w:r>
        <w:rPr>
          <w:rFonts w:cs="宋体" w:hint="eastAsia"/>
          <w:kern w:val="0"/>
          <w:sz w:val="18"/>
          <w:szCs w:val="18"/>
          <w:lang w:bidi="ar"/>
        </w:rPr>
        <w:t>6</w:t>
      </w:r>
      <w:r>
        <w:rPr>
          <w:rFonts w:ascii="宋体" w:hAnsi="宋体" w:cs="宋体" w:hint="eastAsia"/>
          <w:kern w:val="0"/>
          <w:sz w:val="18"/>
          <w:szCs w:val="18"/>
          <w:lang w:bidi="ar"/>
        </w:rPr>
        <w:t>．重金属含量要求</w:t>
      </w:r>
      <w:r>
        <w:rPr>
          <w:rFonts w:cs="宋体" w:hint="eastAsia"/>
          <w:kern w:val="0"/>
          <w:sz w:val="18"/>
          <w:szCs w:val="18"/>
          <w:lang w:bidi="ar"/>
        </w:rPr>
        <w:t>：</w:t>
      </w:r>
      <w:r>
        <w:rPr>
          <w:rFonts w:ascii="宋体" w:hAnsi="宋体" w:cs="宋体" w:hint="eastAsia"/>
          <w:kern w:val="0"/>
          <w:sz w:val="18"/>
          <w:szCs w:val="18"/>
          <w:lang w:bidi="ar"/>
        </w:rPr>
        <w:t>铅含量为小于1.5mg/kg、砷含量为小于0.01mg/kg、汞含量为小于0.002mg/kg</w:t>
      </w:r>
      <w:r>
        <w:rPr>
          <w:rFonts w:cs="宋体" w:hint="eastAsia"/>
          <w:kern w:val="0"/>
          <w:sz w:val="18"/>
          <w:szCs w:val="18"/>
          <w:lang w:bidi="ar"/>
        </w:rPr>
        <w:t>。</w:t>
      </w:r>
    </w:p>
    <w:p w:rsidR="004E60AB" w:rsidRDefault="004E60AB">
      <w:pPr>
        <w:snapToGrid w:val="0"/>
        <w:spacing w:line="300" w:lineRule="atLeast"/>
      </w:pPr>
    </w:p>
    <w:sectPr w:rsidR="004E60AB">
      <w:headerReference w:type="default" r:id="rId7"/>
      <w:pgSz w:w="11906" w:h="16838"/>
      <w:pgMar w:top="567" w:right="851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5F6" w:rsidRDefault="005115F6">
      <w:r>
        <w:separator/>
      </w:r>
    </w:p>
  </w:endnote>
  <w:endnote w:type="continuationSeparator" w:id="0">
    <w:p w:rsidR="005115F6" w:rsidRDefault="0051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5F6" w:rsidRDefault="005115F6">
      <w:r>
        <w:separator/>
      </w:r>
    </w:p>
  </w:footnote>
  <w:footnote w:type="continuationSeparator" w:id="0">
    <w:p w:rsidR="005115F6" w:rsidRDefault="0051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60AB" w:rsidRDefault="004E60A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113"/>
    <w:rsid w:val="00001825"/>
    <w:rsid w:val="0006597D"/>
    <w:rsid w:val="00074A71"/>
    <w:rsid w:val="00076E9D"/>
    <w:rsid w:val="00094076"/>
    <w:rsid w:val="000F5B80"/>
    <w:rsid w:val="00105CCA"/>
    <w:rsid w:val="001355D7"/>
    <w:rsid w:val="001472FA"/>
    <w:rsid w:val="0015141C"/>
    <w:rsid w:val="00192B6E"/>
    <w:rsid w:val="00195DA4"/>
    <w:rsid w:val="001E39CB"/>
    <w:rsid w:val="00211148"/>
    <w:rsid w:val="00284432"/>
    <w:rsid w:val="00296EA9"/>
    <w:rsid w:val="002D4059"/>
    <w:rsid w:val="002D4ED0"/>
    <w:rsid w:val="00305E10"/>
    <w:rsid w:val="00307D74"/>
    <w:rsid w:val="00312AF4"/>
    <w:rsid w:val="003512F8"/>
    <w:rsid w:val="00354157"/>
    <w:rsid w:val="003629CA"/>
    <w:rsid w:val="00375DC1"/>
    <w:rsid w:val="0037697A"/>
    <w:rsid w:val="003C6AA7"/>
    <w:rsid w:val="00481F51"/>
    <w:rsid w:val="004D42F1"/>
    <w:rsid w:val="004E60AB"/>
    <w:rsid w:val="005115F6"/>
    <w:rsid w:val="00533429"/>
    <w:rsid w:val="005757B5"/>
    <w:rsid w:val="00655822"/>
    <w:rsid w:val="006718A2"/>
    <w:rsid w:val="00675403"/>
    <w:rsid w:val="006C0628"/>
    <w:rsid w:val="00754C4B"/>
    <w:rsid w:val="007615BA"/>
    <w:rsid w:val="008428D9"/>
    <w:rsid w:val="0085323E"/>
    <w:rsid w:val="00865D54"/>
    <w:rsid w:val="008808E8"/>
    <w:rsid w:val="008A76A5"/>
    <w:rsid w:val="008B24CF"/>
    <w:rsid w:val="008F4196"/>
    <w:rsid w:val="008F7C7F"/>
    <w:rsid w:val="00935AD9"/>
    <w:rsid w:val="0096379D"/>
    <w:rsid w:val="009C67C4"/>
    <w:rsid w:val="009F5BE9"/>
    <w:rsid w:val="00A02338"/>
    <w:rsid w:val="00A239F9"/>
    <w:rsid w:val="00A4778C"/>
    <w:rsid w:val="00A50348"/>
    <w:rsid w:val="00AE239F"/>
    <w:rsid w:val="00AE6091"/>
    <w:rsid w:val="00B04457"/>
    <w:rsid w:val="00B2327C"/>
    <w:rsid w:val="00B92F57"/>
    <w:rsid w:val="00BA75CB"/>
    <w:rsid w:val="00BC62ED"/>
    <w:rsid w:val="00C66C57"/>
    <w:rsid w:val="00CF0807"/>
    <w:rsid w:val="00D04113"/>
    <w:rsid w:val="00D04325"/>
    <w:rsid w:val="00D052B2"/>
    <w:rsid w:val="00D17D76"/>
    <w:rsid w:val="00D24255"/>
    <w:rsid w:val="00D566A7"/>
    <w:rsid w:val="00D87D0B"/>
    <w:rsid w:val="00D92B7F"/>
    <w:rsid w:val="00DE51D5"/>
    <w:rsid w:val="00E042E6"/>
    <w:rsid w:val="00E22EE6"/>
    <w:rsid w:val="00E43ECA"/>
    <w:rsid w:val="00E76990"/>
    <w:rsid w:val="00EB29AC"/>
    <w:rsid w:val="00EB510C"/>
    <w:rsid w:val="00F012BD"/>
    <w:rsid w:val="00F17423"/>
    <w:rsid w:val="00F25564"/>
    <w:rsid w:val="00F63743"/>
    <w:rsid w:val="00FF1A57"/>
    <w:rsid w:val="08506A89"/>
    <w:rsid w:val="1958690D"/>
    <w:rsid w:val="48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32B97975-95F9-4834-AB29-4386FB0C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uiPriority w:val="99"/>
    <w:pPr>
      <w:spacing w:line="360" w:lineRule="auto"/>
    </w:pPr>
    <w:rPr>
      <w:rFonts w:ascii="Tahoma" w:hAnsi="Tahoma"/>
      <w:szCs w:val="20"/>
    </w:rPr>
  </w:style>
  <w:style w:type="paragraph" w:customStyle="1" w:styleId="Char1">
    <w:name w:val="Char1"/>
    <w:basedOn w:val="a"/>
    <w:uiPriority w:val="99"/>
    <w:pPr>
      <w:spacing w:line="360" w:lineRule="auto"/>
    </w:pPr>
    <w:rPr>
      <w:rFonts w:ascii="Tahoma" w:hAnsi="Tahoma"/>
      <w:szCs w:val="20"/>
    </w:rPr>
  </w:style>
  <w:style w:type="character" w:customStyle="1" w:styleId="a6">
    <w:name w:val="页眉 字符"/>
    <w:basedOn w:val="a0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  <w:wordWrap w:val="0"/>
    </w:pPr>
    <w:rPr>
      <w:rFonts w:ascii="Batang" w:eastAsia="Batang" w:hAnsi="Batang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MC SYSTEM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全程超导可视人流仪规格和要求</dc:title>
  <dc:creator>MC SYSTEM</dc:creator>
  <cp:lastModifiedBy>GY</cp:lastModifiedBy>
  <cp:revision>3</cp:revision>
  <cp:lastPrinted>2008-10-07T01:02:00Z</cp:lastPrinted>
  <dcterms:created xsi:type="dcterms:W3CDTF">2019-11-08T03:20:00Z</dcterms:created>
  <dcterms:modified xsi:type="dcterms:W3CDTF">2023-05-23T09:00:00Z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