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仿宋" w:hAnsi="仿宋" w:eastAsia="仿宋" w:cs="仿宋"/>
          <w:b/>
          <w:sz w:val="36"/>
          <w:szCs w:val="36"/>
        </w:rPr>
      </w:pPr>
      <w:r>
        <w:rPr>
          <w:rFonts w:hint="eastAsia" w:ascii="仿宋" w:hAnsi="仿宋" w:eastAsia="仿宋" w:cs="仿宋"/>
          <w:b/>
          <w:sz w:val="36"/>
          <w:szCs w:val="36"/>
        </w:rPr>
        <w:t>柳州市工人医院医院办公室示教室LED显示屏</w:t>
      </w:r>
    </w:p>
    <w:p>
      <w:pPr>
        <w:tabs>
          <w:tab w:val="left" w:pos="7275"/>
        </w:tabs>
        <w:spacing w:line="480" w:lineRule="exact"/>
        <w:jc w:val="center"/>
        <w:rPr>
          <w:rFonts w:hint="eastAsia" w:ascii="仿宋" w:hAnsi="仿宋" w:eastAsia="仿宋" w:cs="仿宋"/>
          <w:b/>
          <w:sz w:val="36"/>
          <w:szCs w:val="36"/>
        </w:rPr>
      </w:pPr>
      <w:r>
        <w:rPr>
          <w:rFonts w:hint="eastAsia" w:ascii="仿宋" w:hAnsi="仿宋" w:eastAsia="仿宋" w:cs="仿宋"/>
          <w:b/>
          <w:sz w:val="36"/>
          <w:szCs w:val="36"/>
        </w:rPr>
        <w:t>采购需求</w:t>
      </w: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项目</w:t>
      </w:r>
      <w:r>
        <w:rPr>
          <w:rFonts w:hint="eastAsia" w:ascii="仿宋" w:hAnsi="仿宋" w:eastAsia="仿宋" w:cs="仿宋"/>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 xml:space="preserve">    柳州市工人医院医院办公室示教室LED显示屏采购</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二、项目概况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36"/>
          <w:lang w:val="en-US" w:eastAsia="zh-CN"/>
        </w:rPr>
        <w:t>我院</w:t>
      </w:r>
      <w:r>
        <w:rPr>
          <w:rFonts w:hint="eastAsia" w:ascii="仿宋" w:hAnsi="仿宋" w:eastAsia="仿宋" w:cs="仿宋"/>
          <w:b w:val="0"/>
          <w:bCs w:val="0"/>
          <w:sz w:val="28"/>
          <w:szCs w:val="28"/>
          <w:lang w:val="en-US" w:eastAsia="zh-CN"/>
        </w:rPr>
        <w:t>鱼峰院区5号楼14楼新建大会议室</w:t>
      </w:r>
      <w:r>
        <w:rPr>
          <w:rFonts w:hint="eastAsia" w:ascii="仿宋" w:hAnsi="仿宋" w:eastAsia="仿宋" w:cs="仿宋"/>
          <w:sz w:val="28"/>
          <w:szCs w:val="28"/>
          <w:lang w:val="en-US" w:eastAsia="zh-CN"/>
        </w:rPr>
        <w:t>，拟采购LED显示屏</w:t>
      </w:r>
      <w:r>
        <w:rPr>
          <w:rFonts w:hint="eastAsia" w:ascii="仿宋" w:hAnsi="仿宋" w:eastAsia="仿宋" w:cs="仿宋"/>
          <w:sz w:val="28"/>
          <w:szCs w:val="36"/>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三、投标人</w:t>
      </w:r>
      <w:r>
        <w:rPr>
          <w:rFonts w:hint="eastAsia" w:ascii="仿宋" w:hAnsi="仿宋" w:eastAsia="仿宋" w:cs="仿宋"/>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1、投标人需为国内注册（指按国家有关规定要求注册的）生产或经营本次招标采购货物及服务</w:t>
      </w:r>
      <w:r>
        <w:rPr>
          <w:rFonts w:hint="eastAsia" w:ascii="仿宋" w:hAnsi="仿宋" w:eastAsia="仿宋" w:cs="仿宋"/>
          <w:sz w:val="28"/>
          <w:szCs w:val="28"/>
          <w:lang w:eastAsia="zh-CN"/>
        </w:rPr>
        <w:t>、</w:t>
      </w:r>
      <w:r>
        <w:rPr>
          <w:rFonts w:hint="eastAsia" w:ascii="仿宋" w:hAnsi="仿宋" w:eastAsia="仿宋" w:cs="仿宋"/>
          <w:sz w:val="28"/>
          <w:szCs w:val="28"/>
        </w:rPr>
        <w:t>具备法人资格的供应商。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2、投标人三年内在经营活动中没有重大违法记录和不良信用记录。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3、投标人有效的“营业执照”副本复印件。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4、投标人有效的“税务登记证”副本复印件。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四、项目内容</w:t>
      </w:r>
    </w:p>
    <w:p>
      <w:pPr>
        <w:pStyle w:val="5"/>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采购内容：</w:t>
      </w:r>
      <w:r>
        <w:rPr>
          <w:rFonts w:hint="eastAsia" w:ascii="仿宋" w:hAnsi="仿宋" w:eastAsia="仿宋" w:cs="仿宋"/>
          <w:b w:val="0"/>
          <w:bCs w:val="0"/>
          <w:sz w:val="28"/>
          <w:szCs w:val="28"/>
          <w:lang w:val="en-US" w:eastAsia="zh-CN"/>
        </w:rPr>
        <w:t>会议一体机1套</w:t>
      </w:r>
      <w:r>
        <w:rPr>
          <w:rFonts w:hint="eastAsia" w:ascii="仿宋" w:hAnsi="仿宋" w:eastAsia="仿宋" w:cs="仿宋"/>
          <w:sz w:val="28"/>
          <w:szCs w:val="28"/>
          <w:lang w:val="en-US" w:eastAsia="zh-CN"/>
        </w:rPr>
        <w:t>，清单如下：</w:t>
      </w:r>
    </w:p>
    <w:tbl>
      <w:tblPr>
        <w:tblStyle w:val="9"/>
        <w:tblpPr w:leftFromText="180" w:rightFromText="180" w:vertAnchor="text" w:horzAnchor="page" w:tblpX="1615" w:tblpY="295"/>
        <w:tblOverlap w:val="never"/>
        <w:tblW w:w="7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66"/>
        <w:gridCol w:w="2900"/>
        <w:gridCol w:w="767"/>
        <w:gridCol w:w="850"/>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86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290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参数配置</w:t>
            </w:r>
          </w:p>
        </w:tc>
        <w:tc>
          <w:tcPr>
            <w:tcW w:w="767"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8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7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6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LED显示屏</w:t>
            </w:r>
          </w:p>
        </w:tc>
        <w:tc>
          <w:tcPr>
            <w:tcW w:w="290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767"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8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套</w:t>
            </w:r>
          </w:p>
        </w:tc>
        <w:tc>
          <w:tcPr>
            <w:tcW w:w="733" w:type="dxa"/>
          </w:tcPr>
          <w:p>
            <w:pP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866"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施工辅材</w:t>
            </w:r>
          </w:p>
        </w:tc>
        <w:tc>
          <w:tcPr>
            <w:tcW w:w="290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详见附件</w:t>
            </w:r>
          </w:p>
        </w:tc>
        <w:tc>
          <w:tcPr>
            <w:tcW w:w="767"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8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批</w:t>
            </w:r>
          </w:p>
        </w:tc>
        <w:tc>
          <w:tcPr>
            <w:tcW w:w="733" w:type="dxa"/>
          </w:tcPr>
          <w:p>
            <w:pPr>
              <w:rPr>
                <w:rFonts w:hint="eastAsia" w:ascii="仿宋" w:hAnsi="仿宋" w:eastAsia="仿宋" w:cs="仿宋"/>
                <w:sz w:val="24"/>
                <w:szCs w:val="24"/>
                <w:vertAlign w:val="baseline"/>
                <w:lang w:val="en-US" w:eastAsia="zh-CN"/>
              </w:rPr>
            </w:pPr>
          </w:p>
        </w:tc>
      </w:tr>
    </w:tbl>
    <w:p>
      <w:pPr>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五、报价要求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1、</w:t>
      </w:r>
      <w:r>
        <w:rPr>
          <w:rFonts w:hint="eastAsia" w:ascii="仿宋" w:hAnsi="仿宋" w:eastAsia="仿宋" w:cs="仿宋"/>
          <w:color w:val="auto"/>
          <w:kern w:val="2"/>
          <w:sz w:val="28"/>
          <w:szCs w:val="28"/>
          <w:lang w:val="en-US" w:eastAsia="zh-CN" w:bidi="ar-SA"/>
        </w:rPr>
        <w:t>报价含人工费、材料费、装卸车费、运输费、管理费、保险、质保期、利润、税金、硬件、系统安装等为完成本项目所需的所有费用，在实施期间不因市场因素而变动。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kern w:val="2"/>
          <w:sz w:val="28"/>
          <w:szCs w:val="28"/>
          <w:lang w:val="en-US" w:eastAsia="zh-CN" w:bidi="ar-SA"/>
        </w:rPr>
        <w:t>3、报价人需按采购清单要求填写应标品牌型号、应标参数、偏离情况、报价、质保期（要求不低于3年）等内容。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六、其他要求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1、交货时如出现质量、型号、参数与招投标文件不符的情况，供应商应无条件给予更换。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2、供应商确保所供应产品符合国家相关技术部门规定技术要求。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六、合同期及结算方式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1、本项目为一次性采购，签订合同后，15天内完成所有设备采购及调试安装；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2、结算方式：供货安装调试完毕，正常使用验收完成后一次性支付全款。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880" w:firstLineChars="2100"/>
        <w:jc w:val="both"/>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ind w:firstLine="5040" w:firstLineChars="1800"/>
        <w:jc w:val="both"/>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总务科经办人：                        医院办公室：</w:t>
      </w:r>
    </w:p>
    <w:p>
      <w:pPr>
        <w:pStyle w:val="2"/>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总务科负责人：</w:t>
      </w:r>
    </w:p>
    <w:p>
      <w:pPr>
        <w:spacing w:line="720" w:lineRule="auto"/>
        <w:jc w:val="both"/>
        <w:rPr>
          <w:rFonts w:hint="eastAsia" w:ascii="仿宋" w:hAnsi="仿宋" w:eastAsia="仿宋" w:cs="仿宋"/>
          <w:sz w:val="28"/>
          <w:szCs w:val="28"/>
          <w:lang w:val="en-US" w:eastAsia="zh-CN"/>
        </w:rPr>
      </w:pPr>
    </w:p>
    <w:p>
      <w:pPr>
        <w:spacing w:line="720" w:lineRule="auto"/>
        <w:jc w:val="both"/>
        <w:rPr>
          <w:rFonts w:hint="eastAsia"/>
          <w:lang w:val="en-US" w:eastAsia="zh-CN"/>
        </w:rPr>
      </w:pPr>
      <w:r>
        <w:rPr>
          <w:rFonts w:hint="eastAsia" w:ascii="仿宋" w:hAnsi="仿宋" w:eastAsia="仿宋" w:cs="仿宋"/>
          <w:sz w:val="28"/>
          <w:szCs w:val="28"/>
          <w:lang w:val="en-US" w:eastAsia="zh-CN"/>
        </w:rPr>
        <w:t>2023年4月10日                       2023年4月10日</w:t>
      </w:r>
    </w:p>
    <w:p>
      <w:pPr>
        <w:pStyle w:val="5"/>
        <w:rPr>
          <w:rFonts w:hint="eastAsia" w:ascii="仿宋" w:hAnsi="仿宋" w:eastAsia="仿宋" w:cs="仿宋"/>
          <w:sz w:val="28"/>
          <w:szCs w:val="28"/>
          <w:lang w:val="en-US" w:eastAsia="zh-CN"/>
        </w:rPr>
      </w:pPr>
    </w:p>
    <w:p>
      <w:pPr>
        <w:rPr>
          <w:rFonts w:hint="eastAsia"/>
          <w:lang w:val="en-US" w:eastAsia="zh-CN"/>
        </w:rPr>
      </w:pPr>
      <w:r>
        <w:rPr>
          <w:rFonts w:hint="eastAsia"/>
          <w:lang w:val="en-US" w:eastAsia="zh-CN"/>
        </w:rPr>
        <w:br w:type="page"/>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附件：参数配置需求</w:t>
      </w:r>
    </w:p>
    <w:tbl>
      <w:tblPr>
        <w:tblStyle w:val="8"/>
        <w:tblW w:w="91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6"/>
        <w:gridCol w:w="1204"/>
        <w:gridCol w:w="551"/>
        <w:gridCol w:w="6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名称</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数量</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参数描述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sz w:val="24"/>
                <w:szCs w:val="24"/>
                <w:vertAlign w:val="baseline"/>
                <w:lang w:val="en-US" w:eastAsia="zh-CN"/>
              </w:rPr>
              <w:t>LED显示屏</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1套</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numPr>
                <w:ilvl w:val="0"/>
                <w:numId w:val="0"/>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LED屏体：</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1.LED显示屏灯珠采用表贴三合一铜线封装；LED封装形式：SMD1515黑灯；尺寸：3.52m*2.08m*0.15m。</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2.LED显示屏采用≤1.86mm点间距，像素点密度≥288906点/㎡，模组重量≤0.48kg/张，亮度200～600CD/㎡，峰值功耗：≤500W/㎡，平均功耗：≤168W/㎡</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LED显示屏像素中心距相对偏差≤1%，对比度≥10000:1，像素失控率≤1/100000，水平/垂直视角≥175°，平整度≤0.1mm，刷新率≥3840Hz，色温1000K-20000K连续可调，亮度均匀性≥99%，色度均匀性±0.001Cx，Cy之内，各色光的波长误差在±2nm之内，屏前1米噪音值＜2dB</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4.LED显示屏采用前/后维护安装方式，可正面拆卸模组、接收卡、电源，模组、接收卡等低压器件多次热插拔测试后都能正常工作，平均故障恢复时间（MTTR）≤2分钟，</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5.LED显示屏为保证使用的安全性隐患，依据GB/T 5169.16-2017标准，PCB板、线材、电源、连接件阻燃等级达到V-0等级</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6.LED显示屏为防止金属离子迁移、线路短路现象，PCB采用FR-4 四层板同等级或更高材料，PCB导线更宽、导线间距和过孔间距更大，能更好的杜绝模块黑屏、显示异常、灯珠缺色、毛毛虫等现象，表面沉金处理，板厚≥1.6mm，铜厚≥1盎司，TG≥150，PCB板表面具备防潮/防尘/防静电/抗氧化；</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7.LED显示屏具备旋转式灯板设计，弱化跨板耦合效应，保证更优质的显示效果</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8.LED显示屏具备现场屏体开关机次数及使用时长记录，以及对现场温湿度的监测反馈，并形成数据保存周期为100天，并可在控制软件端提取数据，保证用户实时了解现场屏体及使用环境情况</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9.LED显示屏具备VICO指数测试值在0≤VICO＜1间，属于1级基本无疲劳感舒适度，产品视觉健康舒适度A＋级</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10.LED显示屏为保证有效提高信号传输、直流供电稳定性，使用镀金工艺，镀金厚度≥50μ</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LED显示屏具备测试12个循环，每个循环8小时，测试总时长96小时，每个循环测试包括4小时的紫外线照射（UV-A,340nm，60℃）及4小时的水分曝光（50℃）。测试后样品零部件应该是未破损没有任何变形及无可见的腐蚀或氧化。</w:t>
            </w:r>
          </w:p>
          <w:p>
            <w:pPr>
              <w:pStyle w:val="2"/>
              <w:numPr>
                <w:ilvl w:val="0"/>
                <w:numId w:val="0"/>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视频处理器：</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专业主控是专业级LED显示屏控制设备；具备强大的视频信号接收和处理能力，最大可接收1920×1200像素的高清数字信号；支持HDMI和DVI高清数字接口，多路信号间无缝切换；支持视频源任意缩放和裁剪。具备4个千兆网口输出，单机可支持最宽4096像素或最高2560像素的LED显示屏。同时，具备一系列丰富实用的功能，提供灵活的屏幕控制和高品质的图像显示，在LED媒体应用领域有显著优势。</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•具有2类视频输入接口，包括1路HDMI和2路DVI；</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•最大输入分辨率1920×1200@60Hz，支持分辨率任意设置；</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•最大带载260万像素，最宽可达4096点，或最高可达2560点；</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•支持视频源任意切换，缩放和裁剪；</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•支持画面偏移；</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•双USB 2.0高速通讯接口，用于电脑调试和主控间任意级联；</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•支持亮度和色温调节；</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•支持低亮高灰；</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•支持HDCP 1.4；</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★1、设备通过3C认证，并可提供相应证书（加盖厂家公章）。</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★2、可提设备生产商针对本项目的售后服务承诺函（加盖厂家公章）。                                                                                                                                                                                                                    为保证控制系统的兼容性，要求播控系统、 拼接处理器、控制系统为同一品牌。厂家出具证明盖章</w:t>
            </w:r>
          </w:p>
          <w:p>
            <w:pPr>
              <w:pStyle w:val="2"/>
              <w:numPr>
                <w:ilvl w:val="0"/>
                <w:numId w:val="0"/>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接收卡：</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1、集成HUB75，无需再配转接板，更方便，成本更低；</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2、减少接插连接件，减少故障点，故障率更低；</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3、支持常规芯片实现高刷新、高灰度、高亮度；</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4、全新灰度引擎，低灰度表现更佳；</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5、细节处理更完美，可消除单元板设计引起的某行偏暗、低灰偏红、鬼影等细节问题；</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6、支持14bit精度的色度、亮度一体化逐点校正；</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7、支持所有常规芯片、PWM芯片和灯饰芯片；</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8、支持静态屏、1/2~1/64扫之间的任意扫描类型；</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9、支持任意抽点，支持数据偏移，可轻松实现各种异型屏、球形屏、创意显示屏；</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10、单卡支持16组RGB信号输出；</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11、支持超大带载面积，单卡带载128*512，256*256；</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12、先进设计，优质元器件，全自动高低温老化测试，零故障出厂；</w:t>
            </w:r>
          </w:p>
          <w:p>
            <w:pPr>
              <w:pStyle w:val="2"/>
              <w:numPr>
                <w:ilvl w:val="0"/>
                <w:numId w:val="0"/>
              </w:num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13、支持DC 3.3V~6V超宽工作电压，有效减弱电压波动带来的影响；</w:t>
            </w:r>
          </w:p>
          <w:p>
            <w:pPr>
              <w:pStyle w:val="2"/>
              <w:numPr>
                <w:ilvl w:val="0"/>
                <w:numId w:val="0"/>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LED电源：</w:t>
            </w:r>
          </w:p>
          <w:p>
            <w:pPr>
              <w:pStyle w:val="2"/>
              <w:numPr>
                <w:ilvl w:val="0"/>
                <w:numId w:val="0"/>
              </w:numPr>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LED显示屏开关电源规格：5V40A。</w:t>
            </w:r>
          </w:p>
          <w:p>
            <w:pPr>
              <w:pStyle w:val="2"/>
              <w:numPr>
                <w:ilvl w:val="0"/>
                <w:numId w:val="0"/>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应用软件：</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一、支持视频、音频、图像、文字、Flash、Gif等形式的媒体文件播放； 支持Microsoft office的Word、Excel、PPT显示；支持时钟、计时、网页、表格、数 据库、天气预报显示；支持外部视频、环境信息、体育比分、桌面拷贝播放；支持多 页面多分区节目编辑；软件提供了丰富灵活的视频切换功能、分区特效，以及三维特 效动画，让显示屏的显示效果得到完美展现。支持i系列协议的所有接收卡，如新版Lattice系列5A接收卡、i5、i6、i9 等；支持 S2、S4、X4e、Z4、Z6、Z6Pro、X100 等发送卡；支持 A100、A200、 盒；支持iM9多功能卡；支持一台PC机控制多个LED显示屏；支持对LED显示屏智能参数设置。支持对LED大屏幕的手工校正，同时兼容其它专业校正设备采集的校正数据。支持简体中文、繁体中文、英语、法语、日语、韩语、俄语、西班牙语、瑞典语、葡萄牙语等多种语言。二、WEB端应用功能</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1、支持实时展示所有设备的使用状态及设备运行画面，并可监控单台设备的开机情况、软件使用情况、硬盘使用、内存使用率、设备辅助管理软件版本号、设备ID等数据，便于远程定位及维护设备。</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2、基础指令：支持自定义循环周期，执行远程关机、重启、打铃指令；支持远程切换通道、声音模式、图像模式。</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★3、智慧管控：支持设备长时间无人使用时，自动进入屏保、锁屏、息屏、关机状态，保护显示器，延长班班通使用寿命。</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★4、弹窗AI拦截：支持不良弹窗AI拦截过滤能力，设备辅助管理软件实时监测弹出窗口，当有窗口弹出时，会自动使用“不良弹窗AI模型”判断，判断为不良弹窗时，自动拦截该窗口，以保证课堂教学稳定进行。</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响应文件中须提供国家认可的第三方检测机构出具的关于该功能的检测报告复印件）</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6、远程控制：支持远程实时控制设备，可监测设备当前运行界面，并远程操作设备界面，适用于远程维护和修复设备软件问题。</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音视频直播：支持多位老师同时向不同设备发起直播，直播方式包含纯桌面直播、桌面+视频直播、视频直播、音频直播；并且可实时查看收看端教室画面；支持切换直播画质清晰度；支持实施了解直播质量，包含直播源码率、FPS数据，实时掌握直播稳定情况。（响应文件中须提供国家认可的第三方检测机构出具的关于该功能的检测报告复印件）</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8、冰点还原：支持远程查看所有设备的冰点使用状态，并可针对开机状态下的设备批量修改系统还原点。</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9、流量监管：支持查看校内所有设备的实时上下行网速情况、流量使用情况、并可针对单台设备/单个应用限制网络使用。</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10、异常消息：支持自动发现设备运行过程中的异常问题，并可远程推送至移动端，便于管理者处理异常。</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11、系统采用B/S混合云架构设计，支持在Windows、Linux、Android、IOS等多种操作系统通过网页浏览器登录使用。</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12、权限管理：支持根据具体设备、功能菜单进行权限划分，方便根据管理者职能分配管理权限。</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★13、支持自定义系统logo和系统名称，适用于定制系统。（响应文件中须提供国家认可的第三方检测机构出具的关于该功能的检测报告复印件）</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数据分析：支持查看并导出设备整体使用数据，并支持精确查看具体设备数据。数据包含：设备的使用时长、活跃次数、常用软件使用时长和次数、应用使用情况、设备健康度分析、弹窗拦截次数。（响应文件中须提供国家认可的第三方检测机构出具的关于该功能的检测报告复印件）</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二、小程序端</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1、移动系统采用Mini Program设计，无需下载单独安装APP即可使用；兼容Android、IOS等多种移动操作系统，便于远程管理及告警信息通知。</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2、支持查看不同类型设备的在线率、异常指令数、异常设备数及设备详情。</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3、支持以日为单位查看每台设备的操作日志、执行结果、执行失败原因。</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4、基础指令：支持实时查看设备当前状态及实时画面，并可进行实时远程开机、关机、重启、锁屏、消息推送功能。</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5、数据分析：支持查看设备开机市场分布、活跃趋势分析、软件使用情况分析、设备健康度排行；并支持周期性的推送设备运行报告</w:t>
            </w:r>
          </w:p>
          <w:p>
            <w:pPr>
              <w:pStyle w:val="2"/>
              <w:numPr>
                <w:ilvl w:val="0"/>
                <w:numId w:val="0"/>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屏体框架/装饰结构：</w:t>
            </w:r>
          </w:p>
          <w:p>
            <w:pPr>
              <w:pStyle w:val="2"/>
              <w:numPr>
                <w:ilvl w:val="0"/>
                <w:numId w:val="0"/>
              </w:numPr>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不锈钢材料包边;框体尺寸：长3.61m*2.17m*0.15m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31"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9"/>
                <w:rFonts w:hint="default"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施工辅材</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9"/>
                <w:rFonts w:hint="default"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1批</w:t>
            </w:r>
          </w:p>
        </w:tc>
        <w:tc>
          <w:tcPr>
            <w:tcW w:w="6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网线：</w:t>
            </w:r>
            <w:r>
              <w:rPr>
                <w:rFonts w:hint="eastAsia" w:ascii="仿宋" w:hAnsi="仿宋" w:eastAsia="仿宋" w:cs="仿宋"/>
                <w:kern w:val="2"/>
                <w:sz w:val="24"/>
                <w:szCs w:val="24"/>
                <w:lang w:val="en-US" w:eastAsia="zh-CN" w:bidi="ar-SA"/>
              </w:rPr>
              <w:t>六类非屏蔽双绞线，增加了绝缘的十字骨架，将双绞线的四对线分别置于十字骨架的四个凹槽内，而且电缆的直径也更粗。在90米距离内提供250MHz宽带，典型应用速率为1000Mbps；传输性能好：高纯度无氧铜，低电阻，导电性能卓越</w:t>
            </w:r>
          </w:p>
          <w:p>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绝缘性能优：介质损耗小，绝缘电阻大，耐压抗击穿，稳定性能好，305米/箱 </w:t>
            </w:r>
          </w:p>
          <w:p>
            <w:pPr>
              <w:pStyle w:val="2"/>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电源线缆（火、零、地）：</w:t>
            </w:r>
            <w:r>
              <w:rPr>
                <w:rFonts w:hint="eastAsia" w:ascii="仿宋" w:hAnsi="仿宋" w:eastAsia="仿宋" w:cs="仿宋"/>
                <w:kern w:val="2"/>
                <w:sz w:val="24"/>
                <w:szCs w:val="24"/>
                <w:lang w:val="en-US" w:eastAsia="zh-CN" w:bidi="ar-SA"/>
              </w:rPr>
              <w:t>2.5平方国标纯铜芯单芯单股软线阻燃100米/卷</w:t>
            </w:r>
          </w:p>
          <w:p>
            <w:pPr>
              <w:pStyle w:val="2"/>
              <w:ind w:left="0" w:leftChars="0" w:firstLine="0" w:firstLineChars="0"/>
              <w:rPr>
                <w:rFonts w:hint="default"/>
                <w:lang w:val="en-US" w:eastAsia="zh-CN"/>
              </w:rPr>
            </w:pPr>
            <w:r>
              <w:rPr>
                <w:rFonts w:hint="eastAsia" w:ascii="仿宋" w:hAnsi="仿宋" w:eastAsia="仿宋" w:cs="仿宋"/>
                <w:kern w:val="2"/>
                <w:sz w:val="24"/>
                <w:szCs w:val="24"/>
                <w:lang w:val="en-US" w:eastAsia="zh-CN" w:bidi="ar-SA"/>
              </w:rPr>
              <w:t>包含线管、水晶头、扎带、绝缘胶布、线管直通、弯头等为完成本项目所需所有施工辅材。</w:t>
            </w:r>
          </w:p>
        </w:tc>
      </w:tr>
    </w:tbl>
    <w:p>
      <w:pPr>
        <w:pStyle w:val="5"/>
        <w:rPr>
          <w:rFonts w:hint="default"/>
          <w:lang w:val="en-US" w:eastAsia="zh-CN"/>
        </w:rPr>
      </w:pPr>
    </w:p>
    <w:p>
      <w:pPr>
        <w:rPr>
          <w:rFonts w:hint="default" w:ascii="仿宋" w:hAnsi="仿宋" w:eastAsia="仿宋" w:cs="仿宋"/>
          <w:sz w:val="28"/>
          <w:szCs w:val="28"/>
          <w:lang w:val="en-US" w:eastAsia="zh-CN"/>
        </w:rPr>
      </w:pPr>
    </w:p>
    <w:p>
      <w:pPr>
        <w:pStyle w:val="5"/>
        <w:rPr>
          <w:rFonts w:hint="eastAsia"/>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GY4NmNhMDhkMjYzNmFmNDBjOTk1MWFhYjgxM2UifQ=="/>
  </w:docVars>
  <w:rsids>
    <w:rsidRoot w:val="53C91D89"/>
    <w:rsid w:val="010951A7"/>
    <w:rsid w:val="029006F1"/>
    <w:rsid w:val="03435C52"/>
    <w:rsid w:val="041744FB"/>
    <w:rsid w:val="042621F8"/>
    <w:rsid w:val="047E1FB9"/>
    <w:rsid w:val="050A3DAD"/>
    <w:rsid w:val="05B0028B"/>
    <w:rsid w:val="05C74289"/>
    <w:rsid w:val="061E3F1F"/>
    <w:rsid w:val="06D663A6"/>
    <w:rsid w:val="07664AA9"/>
    <w:rsid w:val="09280A33"/>
    <w:rsid w:val="0A5D4A05"/>
    <w:rsid w:val="0AA01CBB"/>
    <w:rsid w:val="0AD409A0"/>
    <w:rsid w:val="0C29450A"/>
    <w:rsid w:val="0D052F8B"/>
    <w:rsid w:val="0DEC388F"/>
    <w:rsid w:val="0DFB3956"/>
    <w:rsid w:val="0E1F0604"/>
    <w:rsid w:val="0F9A511E"/>
    <w:rsid w:val="0FD86801"/>
    <w:rsid w:val="10F23460"/>
    <w:rsid w:val="11424D1C"/>
    <w:rsid w:val="11634099"/>
    <w:rsid w:val="12437AFC"/>
    <w:rsid w:val="128571E5"/>
    <w:rsid w:val="139F4F81"/>
    <w:rsid w:val="158A71B2"/>
    <w:rsid w:val="171C1FFC"/>
    <w:rsid w:val="17AA5816"/>
    <w:rsid w:val="17CB6A54"/>
    <w:rsid w:val="17F07302"/>
    <w:rsid w:val="183904DF"/>
    <w:rsid w:val="19AB7B33"/>
    <w:rsid w:val="1B5F233C"/>
    <w:rsid w:val="1C52663A"/>
    <w:rsid w:val="1CBE4E69"/>
    <w:rsid w:val="1E1D2544"/>
    <w:rsid w:val="1F7B2D1C"/>
    <w:rsid w:val="1FBD62B1"/>
    <w:rsid w:val="20B16B03"/>
    <w:rsid w:val="210020D3"/>
    <w:rsid w:val="219B01F8"/>
    <w:rsid w:val="21A07DC1"/>
    <w:rsid w:val="22E362D2"/>
    <w:rsid w:val="26D52249"/>
    <w:rsid w:val="28865645"/>
    <w:rsid w:val="29D370F6"/>
    <w:rsid w:val="2C022C0C"/>
    <w:rsid w:val="2CB404AC"/>
    <w:rsid w:val="2CDF3794"/>
    <w:rsid w:val="2DC82F69"/>
    <w:rsid w:val="2E852EAB"/>
    <w:rsid w:val="2FC63D74"/>
    <w:rsid w:val="30D0413E"/>
    <w:rsid w:val="31040C94"/>
    <w:rsid w:val="31F22A68"/>
    <w:rsid w:val="34272BB6"/>
    <w:rsid w:val="34D91454"/>
    <w:rsid w:val="35AC53AF"/>
    <w:rsid w:val="36692286"/>
    <w:rsid w:val="3B36382A"/>
    <w:rsid w:val="3E2C4BB7"/>
    <w:rsid w:val="3F664045"/>
    <w:rsid w:val="40012417"/>
    <w:rsid w:val="40D46D12"/>
    <w:rsid w:val="4172433C"/>
    <w:rsid w:val="417D3E89"/>
    <w:rsid w:val="419A0FA7"/>
    <w:rsid w:val="421C47E7"/>
    <w:rsid w:val="4233749A"/>
    <w:rsid w:val="42764332"/>
    <w:rsid w:val="42B208A8"/>
    <w:rsid w:val="44E1092B"/>
    <w:rsid w:val="45085EB8"/>
    <w:rsid w:val="45960004"/>
    <w:rsid w:val="46423D29"/>
    <w:rsid w:val="46F86693"/>
    <w:rsid w:val="47A37881"/>
    <w:rsid w:val="47EE5F11"/>
    <w:rsid w:val="47F24951"/>
    <w:rsid w:val="481E5360"/>
    <w:rsid w:val="485C4F2C"/>
    <w:rsid w:val="489B4B75"/>
    <w:rsid w:val="49634BF7"/>
    <w:rsid w:val="4A1F5604"/>
    <w:rsid w:val="4D1B00DF"/>
    <w:rsid w:val="4D2B75ED"/>
    <w:rsid w:val="4FF57096"/>
    <w:rsid w:val="501066C0"/>
    <w:rsid w:val="50E85F0B"/>
    <w:rsid w:val="52F3051F"/>
    <w:rsid w:val="53C91D89"/>
    <w:rsid w:val="54D517A1"/>
    <w:rsid w:val="54F21A55"/>
    <w:rsid w:val="55617B80"/>
    <w:rsid w:val="56173FB4"/>
    <w:rsid w:val="561D501A"/>
    <w:rsid w:val="56515FE9"/>
    <w:rsid w:val="59666F1C"/>
    <w:rsid w:val="5A447D2A"/>
    <w:rsid w:val="5B3F6E48"/>
    <w:rsid w:val="5C9F2BA9"/>
    <w:rsid w:val="5CB3223D"/>
    <w:rsid w:val="5CEF488A"/>
    <w:rsid w:val="5D102CF8"/>
    <w:rsid w:val="5E40418F"/>
    <w:rsid w:val="5F442227"/>
    <w:rsid w:val="607F7AD3"/>
    <w:rsid w:val="623A7395"/>
    <w:rsid w:val="627438C2"/>
    <w:rsid w:val="62C20C77"/>
    <w:rsid w:val="63814B5D"/>
    <w:rsid w:val="65905D2A"/>
    <w:rsid w:val="680C7FB1"/>
    <w:rsid w:val="68294EFC"/>
    <w:rsid w:val="6A842605"/>
    <w:rsid w:val="6A9B7D71"/>
    <w:rsid w:val="6AE954B5"/>
    <w:rsid w:val="6BA044C1"/>
    <w:rsid w:val="6BDF15AC"/>
    <w:rsid w:val="6C775AF2"/>
    <w:rsid w:val="6E5E469C"/>
    <w:rsid w:val="6F0453DE"/>
    <w:rsid w:val="6F250725"/>
    <w:rsid w:val="6F395FEB"/>
    <w:rsid w:val="717766ED"/>
    <w:rsid w:val="724E32D1"/>
    <w:rsid w:val="72625B8C"/>
    <w:rsid w:val="73BB4BC8"/>
    <w:rsid w:val="74607426"/>
    <w:rsid w:val="74C13C0D"/>
    <w:rsid w:val="751C4E89"/>
    <w:rsid w:val="76C91732"/>
    <w:rsid w:val="77DD02F3"/>
    <w:rsid w:val="78A05FEB"/>
    <w:rsid w:val="79562EED"/>
    <w:rsid w:val="7A427EF2"/>
    <w:rsid w:val="7AC124B5"/>
    <w:rsid w:val="7AF9322A"/>
    <w:rsid w:val="7B161079"/>
    <w:rsid w:val="7B4135C8"/>
    <w:rsid w:val="7B6660C0"/>
    <w:rsid w:val="7B7D10C7"/>
    <w:rsid w:val="7C60679C"/>
    <w:rsid w:val="7C8B1F44"/>
    <w:rsid w:val="7CAF0D43"/>
    <w:rsid w:val="7CC12FE9"/>
    <w:rsid w:val="7CDB5105"/>
    <w:rsid w:val="7CED43DB"/>
    <w:rsid w:val="7D0A0C4E"/>
    <w:rsid w:val="7DBC3A33"/>
    <w:rsid w:val="7DFD69D9"/>
    <w:rsid w:val="7E6C177D"/>
    <w:rsid w:val="7EBE43C7"/>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_Style 1"/>
    <w:basedOn w:val="1"/>
    <w:qFormat/>
    <w:uiPriority w:val="34"/>
    <w:pPr>
      <w:ind w:firstLine="420" w:firstLineChars="200"/>
    </w:pPr>
    <w:rPr>
      <w:rFonts w:ascii="Calibri"/>
      <w:szCs w:val="22"/>
    </w:rPr>
  </w:style>
  <w:style w:type="paragraph" w:styleId="3">
    <w:name w:val="index 8"/>
    <w:basedOn w:val="1"/>
    <w:next w:val="1"/>
    <w:qFormat/>
    <w:uiPriority w:val="0"/>
    <w:pPr>
      <w:ind w:left="0" w:leftChars="0"/>
      <w:jc w:val="left"/>
    </w:pPr>
    <w:rPr>
      <w:rFonts w:ascii="Times New Roman" w:hAnsi="Times New Roman"/>
    </w:rPr>
  </w:style>
  <w:style w:type="paragraph" w:styleId="4">
    <w:name w:val="annotation text"/>
    <w:basedOn w:val="1"/>
    <w:unhideWhenUsed/>
    <w:qFormat/>
    <w:uiPriority w:val="0"/>
    <w:pPr>
      <w:jc w:val="left"/>
    </w:pPr>
  </w:style>
  <w:style w:type="paragraph" w:styleId="5">
    <w:name w:val="Body Text"/>
    <w:basedOn w:val="1"/>
    <w:next w:val="1"/>
    <w:qFormat/>
    <w:uiPriority w:val="0"/>
    <w:pPr>
      <w:spacing w:line="380" w:lineRule="exact"/>
    </w:pPr>
    <w:rPr>
      <w:rFonts w:ascii="Times New Roman" w:hAnsi="Times New Roman" w:eastAsia="宋体" w:cs="Times New Roman"/>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 Char Char Char Char Char Char1 Char"/>
    <w:basedOn w:val="1"/>
    <w:qFormat/>
    <w:uiPriority w:val="0"/>
    <w:rPr>
      <w:sz w:val="24"/>
      <w:szCs w:val="24"/>
    </w:rPr>
  </w:style>
  <w:style w:type="character" w:customStyle="1" w:styleId="12">
    <w:name w:val="font21"/>
    <w:basedOn w:val="10"/>
    <w:qFormat/>
    <w:uiPriority w:val="0"/>
    <w:rPr>
      <w:rFonts w:hint="eastAsia" w:ascii="宋体" w:hAnsi="宋体" w:eastAsia="宋体" w:cs="宋体"/>
      <w:color w:val="000000"/>
      <w:sz w:val="24"/>
      <w:szCs w:val="24"/>
      <w:u w:val="none"/>
    </w:rPr>
  </w:style>
  <w:style w:type="character" w:customStyle="1" w:styleId="13">
    <w:name w:val="font31"/>
    <w:basedOn w:val="10"/>
    <w:qFormat/>
    <w:uiPriority w:val="0"/>
    <w:rPr>
      <w:rFonts w:hint="default" w:ascii="Times New Roman" w:hAnsi="Times New Roman" w:cs="Times New Roman"/>
      <w:color w:val="000000"/>
      <w:sz w:val="22"/>
      <w:szCs w:val="22"/>
      <w:u w:val="none"/>
    </w:rPr>
  </w:style>
  <w:style w:type="character" w:customStyle="1" w:styleId="14">
    <w:name w:val="font41"/>
    <w:basedOn w:val="10"/>
    <w:qFormat/>
    <w:uiPriority w:val="0"/>
    <w:rPr>
      <w:rFonts w:hint="eastAsia" w:ascii="宋体" w:hAnsi="宋体" w:eastAsia="宋体" w:cs="宋体"/>
      <w:color w:val="000000"/>
      <w:sz w:val="22"/>
      <w:szCs w:val="22"/>
      <w:u w:val="none"/>
    </w:rPr>
  </w:style>
  <w:style w:type="paragraph" w:customStyle="1" w:styleId="15">
    <w:name w:val="正文2"/>
    <w:basedOn w:val="1"/>
    <w:qFormat/>
    <w:uiPriority w:val="0"/>
    <w:pPr>
      <w:spacing w:before="156" w:line="360" w:lineRule="auto"/>
      <w:ind w:firstLine="510" w:firstLineChars="200"/>
    </w:pPr>
    <w:rPr>
      <w:sz w:val="24"/>
    </w:rPr>
  </w:style>
  <w:style w:type="character" w:customStyle="1" w:styleId="16">
    <w:name w:val="font11"/>
    <w:basedOn w:val="10"/>
    <w:qFormat/>
    <w:uiPriority w:val="0"/>
    <w:rPr>
      <w:rFonts w:hint="eastAsia" w:ascii="宋体" w:hAnsi="宋体" w:eastAsia="宋体" w:cs="宋体"/>
      <w:color w:val="000000"/>
      <w:sz w:val="22"/>
      <w:szCs w:val="22"/>
      <w:u w:val="none"/>
    </w:rPr>
  </w:style>
  <w:style w:type="character" w:customStyle="1" w:styleId="17">
    <w:name w:val="font121"/>
    <w:basedOn w:val="10"/>
    <w:qFormat/>
    <w:uiPriority w:val="0"/>
    <w:rPr>
      <w:rFonts w:hint="eastAsia" w:ascii="宋体" w:hAnsi="宋体" w:eastAsia="宋体" w:cs="宋体"/>
      <w:color w:val="000000"/>
      <w:sz w:val="20"/>
      <w:szCs w:val="20"/>
      <w:u w:val="none"/>
    </w:rPr>
  </w:style>
  <w:style w:type="character" w:customStyle="1" w:styleId="18">
    <w:name w:val="font61"/>
    <w:basedOn w:val="10"/>
    <w:qFormat/>
    <w:uiPriority w:val="0"/>
    <w:rPr>
      <w:rFonts w:hint="eastAsia" w:ascii="宋体" w:hAnsi="宋体" w:eastAsia="宋体" w:cs="宋体"/>
      <w:color w:val="000000"/>
      <w:sz w:val="20"/>
      <w:szCs w:val="20"/>
      <w:u w:val="none"/>
    </w:rPr>
  </w:style>
  <w:style w:type="character" w:customStyle="1" w:styleId="19">
    <w:name w:val="font111"/>
    <w:basedOn w:val="10"/>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4003</Words>
  <Characters>4499</Characters>
  <Lines>0</Lines>
  <Paragraphs>0</Paragraphs>
  <TotalTime>5</TotalTime>
  <ScaleCrop>false</ScaleCrop>
  <LinksUpToDate>false</LinksUpToDate>
  <CharactersWithSpaces>4791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2022-10-11T11:07:00Z</cp:lastPrinted>
  <dcterms:modified xsi:type="dcterms:W3CDTF">2023-04-18T08:51:08Z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676BB8C8E330493DB527A03640A94E19</vt:lpwstr>
  </property>
</Properties>
</file>