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微软雅黑"/>
          <w:b/>
          <w:bCs/>
          <w:kern w:val="44"/>
          <w:sz w:val="30"/>
          <w:szCs w:val="30"/>
          <w:lang w:eastAsia="zh-CN"/>
        </w:rPr>
      </w:pPr>
      <w:bookmarkStart w:id="0" w:name="_Toc344816509"/>
      <w:r>
        <w:rPr>
          <w:rFonts w:hint="eastAsia" w:ascii="宋体" w:hAnsi="宋体" w:eastAsia="宋体" w:cs="微软雅黑"/>
          <w:b/>
          <w:bCs/>
          <w:kern w:val="44"/>
          <w:sz w:val="30"/>
          <w:szCs w:val="30"/>
        </w:rPr>
        <w:t>柳州市</w:t>
      </w:r>
      <w:r>
        <w:rPr>
          <w:rFonts w:ascii="宋体" w:hAnsi="宋体" w:eastAsia="宋体" w:cs="微软雅黑"/>
          <w:b/>
          <w:bCs/>
          <w:kern w:val="44"/>
          <w:sz w:val="30"/>
          <w:szCs w:val="30"/>
        </w:rPr>
        <w:t>工人医院</w:t>
      </w:r>
      <w:r>
        <w:rPr>
          <w:rFonts w:hint="eastAsia" w:ascii="宋体" w:hAnsi="宋体" w:eastAsia="宋体" w:cs="微软雅黑"/>
          <w:b/>
          <w:bCs/>
          <w:kern w:val="44"/>
          <w:sz w:val="30"/>
          <w:szCs w:val="30"/>
        </w:rPr>
        <w:t>远程病理会诊及管理系统技术参数</w:t>
      </w:r>
      <w:r>
        <w:rPr>
          <w:rFonts w:hint="eastAsia" w:ascii="宋体" w:hAnsi="宋体" w:eastAsia="宋体" w:cs="微软雅黑"/>
          <w:b/>
          <w:bCs/>
          <w:kern w:val="44"/>
          <w:sz w:val="30"/>
          <w:szCs w:val="30"/>
          <w:lang w:eastAsia="zh-CN"/>
        </w:rPr>
        <w:t>要求</w:t>
      </w:r>
    </w:p>
    <w:p>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kern w:val="44"/>
          <w:sz w:val="24"/>
          <w:szCs w:val="24"/>
        </w:rPr>
      </w:pPr>
    </w:p>
    <w:bookmarkEnd w:id="0"/>
    <w:p>
      <w:pPr>
        <w:pStyle w:val="11"/>
        <w:pageBreakBefore w:val="0"/>
        <w:widowControl w:val="0"/>
        <w:numPr>
          <w:ilvl w:val="0"/>
          <w:numId w:val="2"/>
        </w:numPr>
        <w:kinsoku/>
        <w:wordWrap/>
        <w:overflowPunct/>
        <w:topLinePunct w:val="0"/>
        <w:autoSpaceDE/>
        <w:autoSpaceDN/>
        <w:bidi w:val="0"/>
        <w:adjustRightInd/>
        <w:snapToGrid/>
        <w:spacing w:line="312" w:lineRule="auto"/>
        <w:ind w:firstLineChars="0"/>
        <w:textAlignment w:val="auto"/>
        <w:rPr>
          <w:rFonts w:ascii="宋体" w:hAnsi="宋体" w:eastAsia="宋体"/>
          <w:b/>
          <w:sz w:val="28"/>
          <w:szCs w:val="28"/>
        </w:rPr>
      </w:pPr>
      <w:r>
        <w:rPr>
          <w:rFonts w:hint="eastAsia" w:ascii="宋体" w:hAnsi="宋体" w:eastAsia="宋体"/>
          <w:b/>
          <w:sz w:val="28"/>
          <w:szCs w:val="28"/>
        </w:rPr>
        <w:t>项目背景</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Arial" w:hAnsi="Arial" w:cs="Arial"/>
          <w:sz w:val="24"/>
          <w:szCs w:val="24"/>
          <w:shd w:val="clear" w:color="auto" w:fill="FFFFFF"/>
          <w:lang w:eastAsia="zh-CN"/>
        </w:rPr>
      </w:pPr>
      <w:r>
        <w:rPr>
          <w:rFonts w:hint="eastAsia" w:ascii="宋体" w:hAnsi="宋体" w:eastAsia="宋体" w:cs="宋体"/>
          <w:color w:val="auto"/>
          <w:kern w:val="0"/>
          <w:sz w:val="24"/>
          <w:szCs w:val="24"/>
          <w:lang w:val="en-US" w:eastAsia="zh-CN" w:bidi="ar-SA"/>
        </w:rPr>
        <w:t>随着网络信息技术的快速发展，远程诊断已逐渐成为现代医学不可缺少的一个平台。数字病理远程诊断平台将现代医学、计算机网络技术、现代通信技术等高科技整合为一体，形成了医疗、教育、科研、信息综合一体化的平台体系，实现了对现代医学信息的存储、传输、查询、对比、浏览等功能的应用。改变了原来传统看病的单一模式，改善了专家资源分布不均衡，</w:t>
      </w:r>
      <w:r>
        <w:rPr>
          <w:rFonts w:ascii="Arial" w:hAnsi="Arial" w:cs="Arial"/>
          <w:sz w:val="24"/>
          <w:szCs w:val="24"/>
          <w:shd w:val="clear" w:color="auto" w:fill="FFFFFF"/>
        </w:rPr>
        <w:t>实现紧密型城市医疗集团内检查检验结果互认，建立覆盖医联体各单位的远程医疗协作网，提高医疗资源配置和使用效率</w:t>
      </w:r>
      <w:r>
        <w:rPr>
          <w:rFonts w:hint="eastAsia" w:ascii="Arial" w:hAnsi="Arial" w:cs="Arial"/>
          <w:sz w:val="24"/>
          <w:szCs w:val="24"/>
          <w:shd w:val="clear" w:color="auto" w:fill="FFFFFF"/>
          <w:lang w:eastAsia="zh-CN"/>
        </w:rPr>
        <w:t>。</w:t>
      </w:r>
    </w:p>
    <w:p>
      <w:pPr>
        <w:pStyle w:val="5"/>
        <w:rPr>
          <w:rFonts w:hint="eastAsia"/>
          <w:lang w:val="en-US" w:eastAsia="zh-CN"/>
        </w:rPr>
      </w:pPr>
    </w:p>
    <w:p>
      <w:pPr>
        <w:pStyle w:val="11"/>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eastAsia="宋体"/>
          <w:sz w:val="24"/>
          <w:szCs w:val="24"/>
        </w:rPr>
      </w:pPr>
      <w:r>
        <w:rPr>
          <w:rFonts w:hint="eastAsia" w:ascii="宋体" w:hAnsi="宋体" w:eastAsia="宋体"/>
          <w:b/>
          <w:sz w:val="28"/>
          <w:szCs w:val="28"/>
        </w:rPr>
        <w:t>二、项目建设内容及要求</w:t>
      </w:r>
    </w:p>
    <w:tbl>
      <w:tblPr>
        <w:tblStyle w:val="9"/>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2429"/>
        <w:gridCol w:w="4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default" w:ascii="宋体" w:hAnsi="宋体" w:eastAsia="宋体"/>
              </w:rPr>
            </w:pPr>
            <w:r>
              <w:rPr>
                <w:rFonts w:hint="eastAsia" w:ascii="宋体" w:hAnsi="宋体" w:eastAsia="宋体"/>
              </w:rPr>
              <w:t>序号</w:t>
            </w:r>
          </w:p>
        </w:tc>
        <w:tc>
          <w:tcPr>
            <w:tcW w:w="24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功能模块</w:t>
            </w:r>
          </w:p>
        </w:tc>
        <w:tc>
          <w:tcPr>
            <w:tcW w:w="49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1</w:t>
            </w:r>
          </w:p>
        </w:tc>
        <w:tc>
          <w:tcPr>
            <w:tcW w:w="24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会诊申请</w:t>
            </w:r>
          </w:p>
        </w:tc>
        <w:tc>
          <w:tcPr>
            <w:tcW w:w="4951"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1、病例资料录入功能：可进行诊断或会诊病例资料录入，如病人基本信息、临床病史、大体所见、免疫组化等</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2、上传切片和附件功能：每个诊断或会诊病例可选择多张切片扫描与上传，切片的倍率可选择多种倍率上传</w:t>
            </w:r>
            <w:r>
              <w:rPr>
                <w:rFonts w:hint="eastAsia" w:ascii="宋体" w:hAnsi="宋体" w:eastAsia="宋体" w:cs="宋体"/>
                <w:sz w:val="24"/>
                <w:szCs w:val="24"/>
                <w:lang w:eastAsia="zh-CN"/>
              </w:rPr>
              <w:t>。</w:t>
            </w:r>
            <w:r>
              <w:rPr>
                <w:rFonts w:hint="eastAsia" w:ascii="宋体" w:hAnsi="宋体" w:eastAsia="宋体" w:cs="宋体"/>
                <w:sz w:val="24"/>
                <w:szCs w:val="24"/>
              </w:rPr>
              <w:t>也可以指定相应附件上传</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3、专家选择：提供专家选择功能，可按专家类型和所属医院选择专家</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4、支持常规及冰冻会诊会诊，冰冻会诊无需等待切片上传，扫描完成即可发起申请</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5、病例管理：可以对病例信息进行查看、编辑、删除等操作，并可以增加上传或删除该病例对应的切片和附件。针对待会诊、已退回、已完成诊断的病例可以修改后再重新传给专家会诊</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6、同一病例可邀请多位专家会诊</w:t>
            </w:r>
            <w:r>
              <w:rPr>
                <w:rFonts w:hint="eastAsia" w:ascii="宋体" w:hAnsi="宋体" w:eastAsia="宋体" w:cs="宋体"/>
                <w:sz w:val="24"/>
                <w:szCs w:val="24"/>
                <w:lang w:eastAsia="zh-CN"/>
              </w:rPr>
              <w:t>。</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7、专家退回病例功能</w:t>
            </w:r>
            <w:r>
              <w:rPr>
                <w:rFonts w:hint="eastAsia" w:ascii="宋体" w:hAnsi="宋体" w:eastAsia="宋体" w:cs="宋体"/>
                <w:sz w:val="24"/>
                <w:szCs w:val="24"/>
                <w:lang w:eastAsia="zh-CN"/>
              </w:rPr>
              <w:t>。</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rPr>
              <w:t>8、</w:t>
            </w:r>
            <w:r>
              <w:rPr>
                <w:rFonts w:hint="eastAsia" w:ascii="宋体" w:hAnsi="宋体" w:eastAsia="宋体" w:cs="宋体"/>
                <w:sz w:val="24"/>
                <w:szCs w:val="24"/>
                <w:lang w:val="en-US" w:eastAsia="zh-CN" w:bidi="ar"/>
              </w:rPr>
              <w:t>会诊申请机构可以查看专家已发布的病理报告，对完成会诊的申请进行归档。</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9、可以打印和下载专家会诊发布的PDF格式的病理报告。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2</w:t>
            </w:r>
          </w:p>
        </w:tc>
        <w:tc>
          <w:tcPr>
            <w:tcW w:w="24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标本送检</w:t>
            </w:r>
          </w:p>
        </w:tc>
        <w:tc>
          <w:tcPr>
            <w:tcW w:w="4951" w:type="dxa"/>
            <w:vAlign w:val="center"/>
          </w:tcPr>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提供病理检查申请单、样本信息、检查项目费用信息录入功能。 </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根据预设条码规则生成并打印样本条码号和样本汇总标签。</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提供病理送检单的查询、修改、作废等综合管理功能。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提供病理送检单外送清单的生成、打印外送清单、取消外送功能。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可通过扫描样本袋上的流水号条码打印样本送检清单。</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提供送检申请的查询和统计功能。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 提供送检样本的查询和统计功能。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提供样本综合查询功能，可查询外送病理样本的状态及诊断中心接收病理样本的状态，实现外送样本闭环管理。</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 提供在录入费用的情况下，可查询本机构送检病理检查的收费明细和价格汇总。</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 提供病理诊断中心录入项目费用的情况下，可查询中心机构对本机构送检病理检查的补费用明细和金额汇总。</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按照多个条件进行病理诊断报告的查询，提供报告预览、报告打印、批量打印及报告清单打印功能。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病理诊断报告可导出为PDF格式文件另行保存。</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3</w:t>
            </w:r>
          </w:p>
        </w:tc>
        <w:tc>
          <w:tcPr>
            <w:tcW w:w="24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标本签收</w:t>
            </w:r>
          </w:p>
        </w:tc>
        <w:tc>
          <w:tcPr>
            <w:tcW w:w="4951" w:type="dxa"/>
            <w:vAlign w:val="center"/>
          </w:tcPr>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可按照多条件查询已送检样本列表，可补打条码。</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可通过扫描样本袋上的流水号条码单个接收或通过送检批次号进行批量签收。</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提供在录入费用的情况下，可查询接收机构接收的病理检查的收费明细和价格汇总。</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可查看送检单位在样本送检工作站上标记的补收费信息。</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4</w:t>
            </w:r>
          </w:p>
        </w:tc>
        <w:tc>
          <w:tcPr>
            <w:tcW w:w="24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会诊管理</w:t>
            </w:r>
          </w:p>
        </w:tc>
        <w:tc>
          <w:tcPr>
            <w:tcW w:w="4951" w:type="dxa"/>
            <w:vAlign w:val="center"/>
          </w:tcPr>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1、支持病理切片扫描影像查看功能，测量功能，标注功能及图像处理功能，可同时上传数字切片、大体图像、影像检查图像、病史信息、临床诊断、病例资料、备注等，集成完整病例信息进行远程诊断。</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2、专家可利用专业数字病理远程会诊平台，通过浏览器即可进行数字病理远程诊断或会诊，不受时间与空间限制。</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3、支持iPad平板电脑浏览切片，截图以及发送诊断报告功能。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4、退回病例功能：若专家在诊断过程中因缺少诊断材料，比如：因缺少影像材料或因切片质量问题而无法诊断的病例，专家端可以将该病例退回到医院端，要求补充完整的诊断材料。</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5、搜索功能：支持姓名、病理号等多种形式的组合查询。</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6、截图功能：专家诊断或会诊过程中，可对数字切片进行截图，并对截图进行说明解释。</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eastAsia="zh-CN"/>
              </w:rPr>
              <w:t>支持全视野倍率至40×之间无极变倍或固定倍率缩放、无接缝图像、快速流畅浏览，无卡顿、延迟。</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8、支持对数字病理图像进行测量，包括：内置可移动式标尺，进行多种方式的长度测量，自动测量ROI面积、周长、灰度值等测量。</w:t>
            </w:r>
            <w:r>
              <w:rPr>
                <w:rFonts w:hint="eastAsia" w:ascii="宋体" w:hAnsi="宋体" w:eastAsia="宋体" w:cs="宋体"/>
                <w:sz w:val="24"/>
                <w:szCs w:val="24"/>
                <w:lang w:val="en-US" w:eastAsia="zh-CN"/>
              </w:rPr>
              <w:t>支持图像调节功能，可根据显示图像的效果调整图像的颜色、亮度、对比度、伽马值</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9、支持任意旋转数字切片角度，方便看图诊断。</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10、支持浏览追踪标识功能，对不同放大倍率下浏览过的图像采用不同色调进行标记、追踪及定位，导航图上显示不同倍率下的图像浏览轨迹，方便使用者快速浏览图像。</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11、可对图像进行亮度、对比度、色彩等调节校正，进行任意角度旋转观察、后退/返回操作。根据用户需求习惯可对图像进行对比度、亮度、色彩等调整并可进行一键复原。</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12、保存草稿功能。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13、报告预览功能。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14、报告标题模板字定义设置功能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15、签名：填写完诊断意见，签署电子签名提交病理诊断报告。</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16、专家签发、审核报告后，报告以文件形式上传到服务器，供会诊申请医院自行下载、打印，出具报告。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5</w:t>
            </w:r>
          </w:p>
        </w:tc>
        <w:tc>
          <w:tcPr>
            <w:tcW w:w="24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后台权限管理</w:t>
            </w:r>
          </w:p>
        </w:tc>
        <w:tc>
          <w:tcPr>
            <w:tcW w:w="4951" w:type="dxa"/>
            <w:vAlign w:val="center"/>
          </w:tcPr>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1、需提供用户的新增、修改、禁用、启用功能，可对不同的用户进行角色分配，还可以批量导出或导入用户数据。</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2、可进行角色的新增、修改、删除及角色资源管理。</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3、需提供权限精细化管理功能，灵活分配每个角色的查看及操作权限。</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4、需提供机构维护管理及机构层级和关联关系维护管理功能。</w:t>
            </w:r>
          </w:p>
          <w:p>
            <w:pPr>
              <w:pStyle w:val="2"/>
              <w:keepNext w:val="0"/>
              <w:keepLines w:val="0"/>
              <w:suppressLineNumbers w:val="0"/>
              <w:spacing w:before="0" w:beforeAutospacing="0" w:afterAutospacing="0"/>
              <w:ind w:left="0" w:leftChars="0" w:right="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5、控制各送检机构的浏览范围和通过设置特殊规则来满足跨机构的信息调阅需求，从而提供数据访问安全性管理，并严格控制报告与敏感数据的浏览范围。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6</w:t>
            </w:r>
          </w:p>
        </w:tc>
        <w:tc>
          <w:tcPr>
            <w:tcW w:w="24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数据维护</w:t>
            </w:r>
          </w:p>
        </w:tc>
        <w:tc>
          <w:tcPr>
            <w:tcW w:w="4951" w:type="dxa"/>
            <w:vAlign w:val="center"/>
          </w:tcPr>
          <w:p>
            <w:pPr>
              <w:keepNext w:val="0"/>
              <w:keepLines w:val="0"/>
              <w:widowControl/>
              <w:suppressLineNumbers w:val="0"/>
              <w:spacing w:before="0" w:beforeAutospacing="0" w:after="60" w:afterAutospacing="0"/>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1、提供病理送检平台基础字典数据维护，灵活处理送检平台基础数据的增减和修改。</w:t>
            </w:r>
          </w:p>
          <w:p>
            <w:pPr>
              <w:keepNext w:val="0"/>
              <w:keepLines w:val="0"/>
              <w:widowControl/>
              <w:suppressLineNumbers w:val="0"/>
              <w:spacing w:before="0" w:beforeAutospacing="0" w:after="60" w:afterAutospacing="0"/>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2、需提供字典编码管理功能，灵活配置部分字典编码的生成规则。</w:t>
            </w:r>
          </w:p>
          <w:p>
            <w:pPr>
              <w:keepNext w:val="0"/>
              <w:keepLines w:val="0"/>
              <w:widowControl/>
              <w:suppressLineNumbers w:val="0"/>
              <w:spacing w:before="0" w:beforeAutospacing="0" w:after="60" w:afterAutospacing="0"/>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3、需提供系统级别的参数设计，可灵活设置系统功能开关和需要修改的系统参数。还可提供机构级别的参数设计，可通过机构参数灵活设置机构的差异化功能。</w:t>
            </w:r>
          </w:p>
          <w:p>
            <w:pPr>
              <w:keepNext w:val="0"/>
              <w:keepLines w:val="0"/>
              <w:widowControl/>
              <w:suppressLineNumbers w:val="0"/>
              <w:spacing w:before="0" w:beforeAutospacing="0" w:after="60" w:afterAutospacing="0"/>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4、提供病理报告验证功能，可对比纸质报告和电子报告的差异，保证纸质报告的准确性和可溯源性。</w:t>
            </w:r>
          </w:p>
          <w:p>
            <w:pPr>
              <w:keepNext w:val="0"/>
              <w:keepLines w:val="0"/>
              <w:widowControl/>
              <w:suppressLineNumbers w:val="0"/>
              <w:spacing w:before="0" w:beforeAutospacing="0" w:after="60" w:afterAutospacing="0"/>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5、提供基于区域病理送检平台的统一项目字典和维护功能，提供项目的增加、启用、停用功能。</w:t>
            </w:r>
          </w:p>
          <w:p>
            <w:pPr>
              <w:keepNext w:val="0"/>
              <w:keepLines w:val="0"/>
              <w:widowControl/>
              <w:suppressLineNumbers w:val="0"/>
              <w:spacing w:before="0" w:beforeAutospacing="0" w:after="60" w:afterAutospacing="0"/>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6、提供病理项目与送检单位映射规则管理工具，确保送检单位的送检项目与送检平台一致，并减少机构送检项目时的送检时的维护工作量。</w:t>
            </w:r>
          </w:p>
          <w:p>
            <w:pPr>
              <w:keepNext w:val="0"/>
              <w:keepLines w:val="0"/>
              <w:widowControl/>
              <w:suppressLineNumbers w:val="0"/>
              <w:spacing w:before="0" w:beforeAutospacing="0" w:after="60" w:afterAutospacing="0"/>
              <w:ind w:left="0" w:right="0"/>
              <w:jc w:val="both"/>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7、提供样本条码打印模板和送检清单模板设置功能。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7</w:t>
            </w:r>
          </w:p>
        </w:tc>
        <w:tc>
          <w:tcPr>
            <w:tcW w:w="24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接口功能</w:t>
            </w:r>
          </w:p>
        </w:tc>
        <w:tc>
          <w:tcPr>
            <w:tcW w:w="4951" w:type="dxa"/>
            <w:vAlign w:val="center"/>
          </w:tcPr>
          <w:p>
            <w:pPr>
              <w:keepNext w:val="0"/>
              <w:keepLines w:val="0"/>
              <w:widowControl/>
              <w:numPr>
                <w:ilvl w:val="0"/>
                <w:numId w:val="3"/>
              </w:numPr>
              <w:suppressLineNumbers w:val="0"/>
              <w:spacing w:before="0" w:beforeAutospacing="0" w:after="60" w:afterAutospacing="0"/>
              <w:ind w:left="0" w:right="0"/>
              <w:jc w:val="both"/>
              <w:rPr>
                <w:rFonts w:hint="eastAsia"/>
                <w:lang w:val="en-US" w:eastAsia="zh-CN"/>
              </w:rPr>
            </w:pPr>
            <w:r>
              <w:rPr>
                <w:rFonts w:hint="eastAsia"/>
                <w:lang w:val="en-US" w:eastAsia="zh-CN"/>
              </w:rPr>
              <w:t>获取患者病理申请单接口</w:t>
            </w:r>
          </w:p>
          <w:p>
            <w:pPr>
              <w:pStyle w:val="2"/>
              <w:keepNext w:val="0"/>
              <w:keepLines w:val="0"/>
              <w:numPr>
                <w:ilvl w:val="0"/>
                <w:numId w:val="3"/>
              </w:numPr>
              <w:suppressLineNumbers w:val="0"/>
              <w:spacing w:before="0" w:beforeAutospacing="0" w:afterAutospacing="0"/>
              <w:ind w:left="0" w:leftChars="0" w:right="0" w:firstLine="0" w:firstLineChars="0"/>
              <w:rPr>
                <w:rFonts w:hint="eastAsia"/>
                <w:lang w:val="en-US" w:eastAsia="zh-CN"/>
              </w:rPr>
            </w:pPr>
            <w:r>
              <w:rPr>
                <w:rFonts w:hint="eastAsia"/>
                <w:lang w:val="en-US" w:eastAsia="zh-CN"/>
              </w:rPr>
              <w:t>报告回传电子病历</w:t>
            </w:r>
          </w:p>
          <w:p>
            <w:pPr>
              <w:pStyle w:val="2"/>
              <w:keepNext w:val="0"/>
              <w:keepLines w:val="0"/>
              <w:numPr>
                <w:ilvl w:val="0"/>
                <w:numId w:val="3"/>
              </w:numPr>
              <w:suppressLineNumbers w:val="0"/>
              <w:spacing w:before="0" w:beforeAutospacing="0" w:afterAutospacing="0"/>
              <w:ind w:left="0" w:leftChars="0" w:right="0" w:firstLine="0" w:firstLineChars="0"/>
              <w:rPr>
                <w:rFonts w:hint="eastAsia"/>
                <w:lang w:val="en-US" w:eastAsia="zh-CN"/>
              </w:rPr>
            </w:pPr>
            <w:r>
              <w:rPr>
                <w:rFonts w:hint="eastAsia"/>
                <w:lang w:val="en-US" w:eastAsia="zh-CN"/>
              </w:rPr>
              <w:t>提供查区域平台报告结果的接口</w:t>
            </w:r>
          </w:p>
          <w:p>
            <w:pPr>
              <w:pStyle w:val="2"/>
              <w:keepNext w:val="0"/>
              <w:keepLines w:val="0"/>
              <w:numPr>
                <w:ilvl w:val="0"/>
                <w:numId w:val="3"/>
              </w:numPr>
              <w:suppressLineNumbers w:val="0"/>
              <w:spacing w:before="0" w:beforeAutospacing="0" w:afterAutospacing="0"/>
              <w:ind w:left="0" w:leftChars="0" w:right="0" w:firstLine="0" w:firstLineChars="0"/>
              <w:rPr>
                <w:rFonts w:hint="eastAsia"/>
                <w:lang w:val="en-US" w:eastAsia="zh-CN"/>
              </w:rPr>
            </w:pPr>
            <w:r>
              <w:rPr>
                <w:rFonts w:hint="eastAsia"/>
                <w:lang w:val="en-US" w:eastAsia="zh-CN"/>
              </w:rPr>
              <w:t>与设备的接口</w:t>
            </w:r>
          </w:p>
        </w:tc>
      </w:tr>
    </w:tbl>
    <w:p>
      <w:pPr>
        <w:pStyle w:val="5"/>
        <w:pageBreakBefore w:val="0"/>
        <w:widowControl w:val="0"/>
        <w:kinsoku/>
        <w:wordWrap/>
        <w:overflowPunct/>
        <w:topLinePunct w:val="0"/>
        <w:autoSpaceDE/>
        <w:autoSpaceDN/>
        <w:bidi w:val="0"/>
        <w:adjustRightInd/>
        <w:snapToGrid/>
        <w:spacing w:after="0" w:line="312" w:lineRule="auto"/>
        <w:textAlignment w:val="auto"/>
        <w:rPr>
          <w:lang w:val="en-US"/>
        </w:rPr>
      </w:pPr>
    </w:p>
    <w:p>
      <w:pPr>
        <w:pStyle w:val="5"/>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三、对接口及系统改造的要求</w:t>
      </w:r>
    </w:p>
    <w:p>
      <w:pPr>
        <w:pageBreakBefore w:val="0"/>
        <w:widowControl w:val="0"/>
        <w:kinsoku/>
        <w:wordWrap/>
        <w:overflowPunct/>
        <w:topLinePunct w:val="0"/>
        <w:autoSpaceDE/>
        <w:autoSpaceDN/>
        <w:bidi w:val="0"/>
        <w:adjustRightInd/>
        <w:snapToGrid/>
        <w:spacing w:line="312" w:lineRule="auto"/>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ab/>
      </w:r>
      <w:r>
        <w:rPr>
          <w:rFonts w:hint="eastAsia" w:ascii="宋体" w:hAnsi="宋体" w:eastAsia="宋体" w:cs="宋体"/>
          <w:b/>
          <w:bCs/>
          <w:color w:val="auto"/>
          <w:sz w:val="24"/>
          <w:szCs w:val="24"/>
          <w:lang w:eastAsia="zh-CN"/>
        </w:rPr>
        <w:t>质</w:t>
      </w:r>
      <w:r>
        <w:rPr>
          <w:rFonts w:hint="eastAsia" w:ascii="宋体" w:hAnsi="宋体" w:eastAsia="宋体" w:cs="宋体"/>
          <w:b/>
          <w:bCs/>
          <w:color w:val="auto"/>
          <w:sz w:val="24"/>
          <w:szCs w:val="24"/>
        </w:rPr>
        <w:t>保期和</w:t>
      </w:r>
      <w:r>
        <w:rPr>
          <w:rFonts w:hint="eastAsia" w:ascii="宋体" w:hAnsi="宋体" w:eastAsia="宋体" w:cs="宋体"/>
          <w:b/>
          <w:bCs/>
          <w:color w:val="auto"/>
          <w:sz w:val="24"/>
          <w:szCs w:val="24"/>
          <w:lang w:eastAsia="zh-CN"/>
        </w:rPr>
        <w:t>维</w:t>
      </w:r>
      <w:r>
        <w:rPr>
          <w:rFonts w:hint="eastAsia" w:ascii="宋体" w:hAnsi="宋体" w:eastAsia="宋体" w:cs="宋体"/>
          <w:b/>
          <w:bCs/>
          <w:color w:val="auto"/>
          <w:sz w:val="24"/>
          <w:szCs w:val="24"/>
        </w:rPr>
        <w:t>保期内免费实现以下要求：</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3.1提供全面的接口技术，与第三方系统共享数据和功能，这些接口技术包括中间件技术接口、WEBSEVICE通用接口、数据库级接口、文件文本接口等。</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3.2提供与医院第三方系统统一接口的维护与管理，与HIS、电子病历、LIS、PACS、心电系统、</w:t>
      </w:r>
      <w:r>
        <w:rPr>
          <w:rFonts w:hint="eastAsia" w:ascii="宋体" w:hAnsi="宋体" w:eastAsia="宋体" w:cs="宋体"/>
          <w:color w:val="FF0000"/>
          <w:sz w:val="24"/>
          <w:lang w:val="en-US" w:eastAsia="zh-CN"/>
        </w:rPr>
        <w:t>病理系统、</w:t>
      </w:r>
      <w:r>
        <w:rPr>
          <w:rFonts w:hint="eastAsia" w:ascii="宋体" w:hAnsi="宋体" w:eastAsia="宋体" w:cs="宋体"/>
          <w:color w:val="auto"/>
          <w:sz w:val="24"/>
          <w:lang w:val="en-US"/>
        </w:rPr>
        <w:t>体检系统、集成平台、</w:t>
      </w:r>
      <w:r>
        <w:rPr>
          <w:rFonts w:hint="eastAsia" w:ascii="宋体" w:hAnsi="宋体" w:eastAsia="宋体" w:cs="宋体"/>
          <w:color w:val="auto"/>
          <w:sz w:val="24"/>
          <w:lang w:val="en-US" w:eastAsia="zh-CN"/>
        </w:rPr>
        <w:t>智慧运营平台、</w:t>
      </w:r>
      <w:r>
        <w:rPr>
          <w:rFonts w:hint="eastAsia" w:ascii="宋体" w:hAnsi="宋体" w:eastAsia="宋体" w:cs="宋体"/>
          <w:color w:val="auto"/>
          <w:sz w:val="24"/>
          <w:lang w:val="en-US"/>
        </w:rPr>
        <w:t>成本管理系统、排班系统、</w:t>
      </w:r>
      <w:r>
        <w:rPr>
          <w:rFonts w:hint="eastAsia" w:ascii="宋体" w:hAnsi="宋体" w:eastAsia="宋体" w:cs="宋体"/>
          <w:color w:val="auto"/>
          <w:sz w:val="24"/>
          <w:lang w:val="en-US" w:eastAsia="zh-CN"/>
        </w:rPr>
        <w:t>人力资源</w:t>
      </w:r>
      <w:r>
        <w:rPr>
          <w:rFonts w:hint="eastAsia" w:ascii="宋体" w:hAnsi="宋体" w:eastAsia="宋体" w:cs="宋体"/>
          <w:color w:val="auto"/>
          <w:sz w:val="24"/>
          <w:lang w:val="en-US"/>
        </w:rPr>
        <w:t>管理系统、财务管理系统、互联网医院、OA系统、自助服务平台、DRG管理、绩效管理、电子发票、短信平台、财务电子档案等其他所有医院相关业务系统包括以上医院系统但不仅限于以上系统进行免费接口对接，实现数据交换。</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3.3满足医院电子病历系统功能应用水平分级评价达到6级以上评审、医院信息互联互通标准化成熟度测评达到</w:t>
      </w:r>
      <w:r>
        <w:rPr>
          <w:rFonts w:hint="eastAsia" w:ascii="宋体" w:hAnsi="宋体" w:eastAsia="宋体" w:cs="宋体"/>
          <w:color w:val="auto"/>
          <w:sz w:val="24"/>
          <w:lang w:val="en-US" w:eastAsia="zh-CN"/>
        </w:rPr>
        <w:t>五</w:t>
      </w:r>
      <w:r>
        <w:rPr>
          <w:rFonts w:hint="eastAsia" w:ascii="宋体" w:hAnsi="宋体" w:eastAsia="宋体" w:cs="宋体"/>
          <w:color w:val="auto"/>
          <w:sz w:val="24"/>
          <w:lang w:val="en-US"/>
        </w:rPr>
        <w:t>级</w:t>
      </w:r>
      <w:r>
        <w:rPr>
          <w:rFonts w:hint="eastAsia" w:ascii="宋体" w:hAnsi="宋体" w:eastAsia="宋体" w:cs="宋体"/>
          <w:color w:val="auto"/>
          <w:sz w:val="24"/>
          <w:lang w:val="en-US" w:eastAsia="zh-CN"/>
        </w:rPr>
        <w:t>乙</w:t>
      </w:r>
      <w:r>
        <w:rPr>
          <w:rFonts w:hint="eastAsia" w:ascii="宋体" w:hAnsi="宋体" w:eastAsia="宋体" w:cs="宋体"/>
          <w:color w:val="auto"/>
          <w:sz w:val="24"/>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r>
        <w:rPr>
          <w:rFonts w:hint="eastAsia" w:ascii="宋体" w:hAnsi="宋体" w:eastAsia="宋体" w:cs="宋体"/>
          <w:color w:val="auto"/>
          <w:sz w:val="24"/>
          <w:lang w:val="en-US" w:eastAsia="zh-CN"/>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3.4提供软件免费升级及个性化修改服务，免费实现院方的个性化需求</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软件自身错误类问题提供永久性免费修改服务</w:t>
      </w:r>
      <w:r>
        <w:rPr>
          <w:rFonts w:hint="eastAsia" w:ascii="宋体" w:hAnsi="宋体" w:eastAsia="宋体" w:cs="宋体"/>
          <w:color w:val="auto"/>
          <w:sz w:val="24"/>
          <w:lang w:val="en-US" w:eastAsia="zh-CN"/>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3.5免费提供医院新增业务信息系统的对接、免费实现医院上级管理部门要求的系统接口对接要求。</w:t>
      </w:r>
    </w:p>
    <w:p>
      <w:pPr>
        <w:pStyle w:val="4"/>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rPr>
        <w:t>四、项目实施要求</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4.1驻场、实施工期要求：合同签订后，7个工作日内项目实施人员必须进场</w:t>
      </w:r>
      <w:r>
        <w:rPr>
          <w:rFonts w:hint="eastAsia" w:ascii="宋体" w:hAnsi="宋体" w:eastAsia="宋体" w:cs="宋体"/>
          <w:color w:val="auto"/>
          <w:sz w:val="24"/>
          <w:lang w:val="en-US" w:eastAsia="zh-CN"/>
        </w:rPr>
        <w:t>，系统需在</w:t>
      </w:r>
      <w:r>
        <w:rPr>
          <w:rFonts w:hint="eastAsia" w:ascii="宋体" w:hAnsi="宋体" w:eastAsia="宋体" w:cs="宋体"/>
          <w:color w:val="auto"/>
          <w:sz w:val="24"/>
          <w:highlight w:val="yellow"/>
          <w:lang w:val="en-US" w:eastAsia="zh-CN"/>
        </w:rPr>
        <w:t>3</w:t>
      </w:r>
      <w:r>
        <w:rPr>
          <w:rFonts w:hint="eastAsia" w:ascii="宋体" w:hAnsi="宋体" w:eastAsia="宋体" w:cs="宋体"/>
          <w:color w:val="auto"/>
          <w:sz w:val="24"/>
          <w:lang w:val="en-US"/>
        </w:rPr>
        <w:t>个月内完成项目实施上线</w:t>
      </w:r>
      <w:r>
        <w:rPr>
          <w:rFonts w:hint="eastAsia" w:ascii="宋体" w:hAnsi="宋体" w:eastAsia="宋体" w:cs="宋体"/>
          <w:color w:val="auto"/>
          <w:sz w:val="24"/>
          <w:lang w:val="en-US" w:eastAsia="zh-CN"/>
        </w:rPr>
        <w:t>，请分别列出每个系统实施的工作计划及周期</w:t>
      </w:r>
      <w:r>
        <w:rPr>
          <w:rFonts w:hint="eastAsia" w:ascii="宋体" w:hAnsi="宋体" w:eastAsia="宋体" w:cs="宋体"/>
          <w:color w:val="auto"/>
          <w:sz w:val="24"/>
          <w:lang w:val="en-US"/>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4.2</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人员要求：</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实施工程师：</w:t>
      </w:r>
      <w:r>
        <w:rPr>
          <w:rFonts w:hint="eastAsia" w:ascii="宋体" w:hAnsi="宋体" w:eastAsia="宋体" w:cs="宋体"/>
          <w:color w:val="auto"/>
          <w:sz w:val="24"/>
          <w:lang w:val="en-US"/>
        </w:rPr>
        <w:t>项目驻场实施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需有2年以上</w:t>
      </w:r>
      <w:r>
        <w:rPr>
          <w:rFonts w:hint="eastAsia" w:ascii="宋体" w:hAnsi="宋体" w:eastAsia="宋体" w:cs="宋体"/>
          <w:color w:val="auto"/>
          <w:sz w:val="24"/>
          <w:lang w:val="en-US" w:eastAsia="zh-CN"/>
        </w:rPr>
        <w:t>本厂商</w:t>
      </w:r>
      <w:r>
        <w:rPr>
          <w:rFonts w:hint="eastAsia" w:ascii="宋体" w:hAnsi="宋体" w:eastAsia="宋体" w:cs="宋体"/>
          <w:color w:val="auto"/>
          <w:sz w:val="24"/>
          <w:lang w:val="en-US"/>
        </w:rPr>
        <w:t>同等项目实施经验</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项目实施</w:t>
      </w:r>
      <w:r>
        <w:rPr>
          <w:rFonts w:hint="eastAsia" w:ascii="宋体" w:hAnsi="宋体" w:eastAsia="宋体" w:cs="宋体"/>
          <w:color w:val="auto"/>
          <w:sz w:val="24"/>
          <w:lang w:val="en-US" w:eastAsia="zh-CN"/>
        </w:rPr>
        <w:t>阶段</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不得少于</w:t>
      </w:r>
      <w:r>
        <w:rPr>
          <w:rFonts w:hint="eastAsia" w:ascii="宋体" w:hAnsi="宋体" w:eastAsia="宋体" w:cs="宋体"/>
          <w:color w:val="auto"/>
          <w:sz w:val="24"/>
          <w:highlight w:val="yellow"/>
          <w:lang w:val="en-US" w:eastAsia="zh-CN"/>
        </w:rPr>
        <w:t>1</w:t>
      </w:r>
      <w:r>
        <w:rPr>
          <w:rFonts w:hint="eastAsia" w:ascii="宋体" w:hAnsi="宋体" w:eastAsia="宋体" w:cs="宋体"/>
          <w:color w:val="auto"/>
          <w:sz w:val="24"/>
          <w:lang w:val="en-US"/>
        </w:rPr>
        <w:t>名</w:t>
      </w:r>
      <w:r>
        <w:rPr>
          <w:rFonts w:hint="eastAsia" w:ascii="宋体" w:hAnsi="宋体" w:eastAsia="宋体" w:cs="宋体"/>
          <w:color w:val="auto"/>
          <w:sz w:val="24"/>
          <w:lang w:val="en-US" w:eastAsia="zh-CN"/>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开发工程师：</w:t>
      </w:r>
      <w:r>
        <w:rPr>
          <w:rFonts w:hint="eastAsia" w:ascii="宋体" w:hAnsi="宋体" w:eastAsia="宋体" w:cs="宋体"/>
          <w:color w:val="auto"/>
          <w:sz w:val="24"/>
          <w:lang w:val="en-US"/>
        </w:rPr>
        <w:t>项目</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开发工程师需有</w:t>
      </w:r>
      <w:r>
        <w:rPr>
          <w:rFonts w:hint="eastAsia" w:ascii="宋体" w:hAnsi="宋体" w:eastAsia="宋体" w:cs="宋体"/>
          <w:color w:val="auto"/>
          <w:sz w:val="24"/>
          <w:lang w:val="en-US" w:eastAsia="zh-CN"/>
        </w:rPr>
        <w:t>2</w:t>
      </w:r>
      <w:r>
        <w:rPr>
          <w:rFonts w:hint="eastAsia" w:ascii="宋体" w:hAnsi="宋体" w:eastAsia="宋体" w:cs="宋体"/>
          <w:color w:val="auto"/>
          <w:sz w:val="24"/>
          <w:lang w:val="en-US"/>
        </w:rPr>
        <w:t>年以上</w:t>
      </w:r>
      <w:r>
        <w:rPr>
          <w:rFonts w:hint="eastAsia" w:ascii="宋体" w:hAnsi="宋体" w:eastAsia="宋体" w:cs="宋体"/>
          <w:color w:val="auto"/>
          <w:sz w:val="24"/>
          <w:lang w:val="en-US" w:eastAsia="zh-CN"/>
        </w:rPr>
        <w:t>本厂商</w:t>
      </w:r>
      <w:r>
        <w:rPr>
          <w:rFonts w:hint="eastAsia" w:ascii="宋体" w:hAnsi="宋体" w:eastAsia="宋体" w:cs="宋体"/>
          <w:color w:val="auto"/>
          <w:sz w:val="24"/>
          <w:lang w:val="en-US"/>
        </w:rPr>
        <w:t>同类型项目开发经验</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项目实施</w:t>
      </w:r>
      <w:r>
        <w:rPr>
          <w:rFonts w:hint="eastAsia" w:ascii="宋体" w:hAnsi="宋体" w:eastAsia="宋体" w:cs="宋体"/>
          <w:color w:val="auto"/>
          <w:sz w:val="24"/>
          <w:lang w:val="en-US" w:eastAsia="zh-CN"/>
        </w:rPr>
        <w:t>和上线阶段</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驻场开发工程师</w:t>
      </w:r>
      <w:r>
        <w:rPr>
          <w:rFonts w:hint="eastAsia" w:ascii="宋体" w:hAnsi="宋体" w:eastAsia="宋体" w:cs="宋体"/>
          <w:color w:val="auto"/>
          <w:sz w:val="24"/>
          <w:lang w:val="en-US"/>
        </w:rPr>
        <w:t>不得少于</w:t>
      </w:r>
      <w:r>
        <w:rPr>
          <w:rFonts w:hint="eastAsia" w:ascii="宋体" w:hAnsi="宋体" w:eastAsia="宋体" w:cs="宋体"/>
          <w:color w:val="auto"/>
          <w:sz w:val="24"/>
          <w:highlight w:val="yellow"/>
          <w:lang w:val="en-US" w:eastAsia="zh-CN"/>
        </w:rPr>
        <w:t>1</w:t>
      </w:r>
      <w:r>
        <w:rPr>
          <w:rFonts w:hint="eastAsia" w:ascii="宋体" w:hAnsi="宋体" w:eastAsia="宋体" w:cs="宋体"/>
          <w:color w:val="auto"/>
          <w:sz w:val="24"/>
          <w:lang w:val="en-US"/>
        </w:rPr>
        <w:t>名</w:t>
      </w:r>
      <w:r>
        <w:rPr>
          <w:rFonts w:hint="eastAsia" w:ascii="宋体" w:hAnsi="宋体" w:eastAsia="宋体" w:cs="宋体"/>
          <w:color w:val="auto"/>
          <w:sz w:val="24"/>
          <w:lang w:val="en-US" w:eastAsia="zh-CN"/>
        </w:rPr>
        <w:t>。如不能按项目阶段计划正常开展工作的，医院书面提出要求，驻场开发人员不得少于</w:t>
      </w:r>
      <w:r>
        <w:rPr>
          <w:rFonts w:hint="eastAsia" w:ascii="宋体" w:hAnsi="宋体" w:eastAsia="宋体" w:cs="宋体"/>
          <w:color w:val="auto"/>
          <w:sz w:val="24"/>
          <w:highlight w:val="yellow"/>
          <w:lang w:val="en-US" w:eastAsia="zh-CN"/>
        </w:rPr>
        <w:t>2</w:t>
      </w:r>
      <w:r>
        <w:rPr>
          <w:rFonts w:hint="eastAsia" w:ascii="宋体" w:hAnsi="宋体" w:eastAsia="宋体" w:cs="宋体"/>
          <w:color w:val="auto"/>
          <w:sz w:val="24"/>
          <w:lang w:val="en-US" w:eastAsia="zh-CN"/>
        </w:rPr>
        <w:t>人含原驻场人员在内。</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rPr>
        <w:t>如需更换</w:t>
      </w:r>
      <w:r>
        <w:rPr>
          <w:rFonts w:hint="eastAsia" w:ascii="宋体" w:hAnsi="宋体" w:eastAsia="宋体" w:cs="宋体"/>
          <w:color w:val="auto"/>
          <w:sz w:val="24"/>
          <w:lang w:val="en-US" w:eastAsia="zh-CN"/>
        </w:rPr>
        <w:t>开发工程师、实施工程师</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厂商</w:t>
      </w:r>
      <w:r>
        <w:rPr>
          <w:rFonts w:hint="eastAsia" w:ascii="宋体" w:hAnsi="宋体" w:eastAsia="宋体" w:cs="宋体"/>
          <w:color w:val="auto"/>
          <w:sz w:val="24"/>
          <w:lang w:val="en-US"/>
        </w:rPr>
        <w:t>需提交书面申请，经院方同意才可更换。</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竞标文件中需提供软件提供商项目驻场人员清单含项目开发和项目实施人员，清单中标明驻场人员详细信息，如姓名、联系方式、技术职称、社保证明不少于半年等。</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因厂商与院方存在对需求理解有差异的可能性，要求所有软件功能需求的响应以院方意见为准</w:t>
      </w:r>
      <w:r>
        <w:rPr>
          <w:rFonts w:hint="eastAsia" w:ascii="宋体" w:hAnsi="宋体" w:eastAsia="宋体" w:cs="宋体"/>
          <w:color w:val="auto"/>
          <w:sz w:val="24"/>
          <w:szCs w:val="24"/>
          <w:lang w:eastAsia="zh-CN"/>
        </w:rPr>
        <w:t>。</w:t>
      </w:r>
    </w:p>
    <w:p>
      <w:pPr>
        <w:pStyle w:val="5"/>
        <w:pageBreakBefore w:val="0"/>
        <w:widowControl w:val="0"/>
        <w:kinsoku/>
        <w:wordWrap/>
        <w:overflowPunct/>
        <w:topLinePunct w:val="0"/>
        <w:autoSpaceDE/>
        <w:autoSpaceDN/>
        <w:bidi w:val="0"/>
        <w:adjustRightInd/>
        <w:snapToGrid/>
        <w:spacing w:after="0" w:line="312" w:lineRule="auto"/>
        <w:textAlignment w:val="auto"/>
        <w:rPr>
          <w:lang w:val="en-US"/>
        </w:rPr>
      </w:pPr>
    </w:p>
    <w:p>
      <w:pPr>
        <w:pStyle w:val="4"/>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rPr>
        <w:t>五、</w:t>
      </w:r>
      <w:r>
        <w:rPr>
          <w:rFonts w:hint="eastAsia" w:ascii="宋体" w:hAnsi="宋体"/>
          <w:bCs w:val="0"/>
          <w:sz w:val="32"/>
          <w:szCs w:val="32"/>
          <w:lang w:eastAsia="zh-CN"/>
        </w:rPr>
        <w:t>售后</w:t>
      </w:r>
      <w:r>
        <w:rPr>
          <w:rFonts w:hint="eastAsia" w:ascii="宋体" w:hAnsi="宋体"/>
          <w:bCs w:val="0"/>
          <w:sz w:val="32"/>
          <w:szCs w:val="32"/>
        </w:rPr>
        <w:t>服务及其他要求</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sz w:val="24"/>
          <w:szCs w:val="24"/>
        </w:rPr>
      </w:pPr>
      <w:r>
        <w:rPr>
          <w:rFonts w:hint="eastAsia" w:ascii="宋体" w:hAnsi="宋体" w:cs="宋体"/>
          <w:sz w:val="24"/>
          <w:szCs w:val="24"/>
        </w:rPr>
        <w:t>5.1自本项目整体最终验收之日起，所有产品要求提供</w:t>
      </w:r>
      <w:r>
        <w:rPr>
          <w:rFonts w:hint="eastAsia" w:ascii="宋体" w:hAnsi="宋体" w:cs="宋体"/>
          <w:color w:val="FF0000"/>
          <w:sz w:val="24"/>
          <w:szCs w:val="24"/>
        </w:rPr>
        <w:t>三年</w:t>
      </w:r>
      <w:r>
        <w:rPr>
          <w:rFonts w:hint="eastAsia" w:ascii="宋体" w:hAnsi="宋体" w:cs="宋体"/>
          <w:sz w:val="24"/>
          <w:szCs w:val="24"/>
        </w:rPr>
        <w:t>的免费</w:t>
      </w:r>
      <w:r>
        <w:rPr>
          <w:rFonts w:hint="eastAsia" w:ascii="宋体" w:hAnsi="宋体" w:cs="宋体"/>
          <w:sz w:val="24"/>
          <w:szCs w:val="24"/>
          <w:lang w:eastAsia="zh-CN"/>
        </w:rPr>
        <w:t>质</w:t>
      </w:r>
      <w:r>
        <w:rPr>
          <w:rFonts w:hint="eastAsia" w:ascii="宋体" w:hAnsi="宋体" w:cs="宋体"/>
          <w:sz w:val="24"/>
          <w:szCs w:val="24"/>
        </w:rPr>
        <w:t>保服务。含软硬件维护和系统软件升级、技术支持服务、系统管理及操作培训，免费提供系统个性化修改需求。请详细说明售后服务的内容。</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sz w:val="24"/>
          <w:szCs w:val="24"/>
        </w:rPr>
      </w:pPr>
      <w:r>
        <w:rPr>
          <w:rFonts w:hint="eastAsia" w:ascii="宋体" w:hAnsi="宋体" w:cs="宋体"/>
          <w:sz w:val="24"/>
          <w:szCs w:val="24"/>
        </w:rPr>
        <w:t>5.2安装调试要求：免费送货上门、安装调试、提供完善的设备及软件系统使用中文操作手册、图纸、网络详细拓扑图、系统配置、功能配置、设备配置及互联记录</w:t>
      </w:r>
      <w:r>
        <w:rPr>
          <w:rFonts w:hint="eastAsia" w:ascii="宋体" w:hAnsi="宋体" w:cs="宋体"/>
          <w:sz w:val="24"/>
          <w:szCs w:val="24"/>
          <w:lang w:eastAsia="zh-CN"/>
        </w:rPr>
        <w:t>。</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sz w:val="24"/>
          <w:szCs w:val="24"/>
        </w:rPr>
      </w:pPr>
      <w:r>
        <w:rPr>
          <w:rFonts w:hint="eastAsia" w:ascii="宋体" w:hAnsi="宋体" w:cs="宋体"/>
          <w:sz w:val="24"/>
          <w:szCs w:val="24"/>
        </w:rPr>
        <w:t>5.3原厂技术人员免费提供</w:t>
      </w:r>
      <w:r>
        <w:rPr>
          <w:rFonts w:hint="eastAsia" w:ascii="宋体" w:hAnsi="宋体" w:cs="宋体"/>
          <w:sz w:val="24"/>
          <w:szCs w:val="24"/>
          <w:lang w:eastAsia="zh-CN"/>
        </w:rPr>
        <w:t>售后</w:t>
      </w:r>
      <w:r>
        <w:rPr>
          <w:rFonts w:hint="eastAsia" w:ascii="宋体" w:hAnsi="宋体" w:cs="宋体"/>
          <w:sz w:val="24"/>
          <w:szCs w:val="24"/>
        </w:rPr>
        <w:t>服务，含电话支持、现场响应、远程操作、网上客服中心等多种方式服务，应做到7×24小时全天候电话或微信等常用联系方式响应。</w:t>
      </w:r>
      <w:bookmarkStart w:id="1" w:name="_Toc507405798"/>
      <w:r>
        <w:rPr>
          <w:rFonts w:hint="eastAsia" w:ascii="宋体" w:hAnsi="宋体" w:cs="宋体"/>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ascii="宋体" w:hAnsi="宋体" w:cs="宋体"/>
          <w:sz w:val="24"/>
          <w:szCs w:val="24"/>
        </w:rPr>
      </w:pPr>
      <w:r>
        <w:rPr>
          <w:rFonts w:hint="eastAsia" w:ascii="宋体" w:hAnsi="宋体" w:eastAsia="宋体" w:cs="微软雅黑"/>
          <w:sz w:val="24"/>
          <w:szCs w:val="24"/>
        </w:rPr>
        <w:t>5.4</w:t>
      </w:r>
      <w:r>
        <w:rPr>
          <w:rFonts w:hint="eastAsia" w:ascii="宋体" w:hAnsi="宋体" w:cs="宋体"/>
          <w:sz w:val="24"/>
          <w:szCs w:val="24"/>
        </w:rPr>
        <w:t>供应商提供原厂技术人员定期回访服务，定期通过电话或其他方式访问用户，了解产品使用情况及网络安全情况，须在每季度第一个月进行一次现场巡检，并形成书面巡检服务报告，加盖有效公章并反馈给我院要求提供巡检报告模板，内容涉及此项目相关设备的运行情况及现场巡检照片。</w:t>
      </w:r>
    </w:p>
    <w:p>
      <w:pPr>
        <w:pStyle w:val="5"/>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六、违约责任</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6.1投标方所提供的</w:t>
      </w:r>
      <w:r>
        <w:rPr>
          <w:rFonts w:hint="eastAsia" w:ascii="宋体" w:hAnsi="宋体" w:eastAsia="宋体" w:cs="宋体"/>
          <w:color w:val="FF0000"/>
          <w:sz w:val="24"/>
          <w:szCs w:val="24"/>
          <w:lang w:val="en-US" w:eastAsia="zh-CN"/>
        </w:rPr>
        <w:t>产品/软件</w:t>
      </w:r>
      <w:r>
        <w:rPr>
          <w:rFonts w:hint="eastAsia" w:ascii="宋体" w:hAnsi="宋体" w:eastAsia="宋体" w:cs="宋体"/>
          <w:color w:val="auto"/>
          <w:sz w:val="24"/>
          <w:szCs w:val="24"/>
        </w:rPr>
        <w:t>规格、技术标准、</w:t>
      </w:r>
      <w:r>
        <w:rPr>
          <w:rFonts w:hint="eastAsia" w:ascii="宋体" w:hAnsi="宋体" w:eastAsia="宋体" w:cs="宋体"/>
          <w:color w:val="FF0000"/>
          <w:sz w:val="24"/>
          <w:szCs w:val="24"/>
        </w:rPr>
        <w:t>材料</w:t>
      </w:r>
      <w:r>
        <w:rPr>
          <w:rFonts w:hint="eastAsia" w:ascii="宋体" w:hAnsi="宋体" w:eastAsia="宋体" w:cs="宋体"/>
          <w:color w:val="auto"/>
          <w:sz w:val="24"/>
          <w:szCs w:val="24"/>
        </w:rPr>
        <w:t>等质量不合格的，应及时更换，更换不及时的按逾期</w:t>
      </w:r>
      <w:r>
        <w:rPr>
          <w:rFonts w:hint="eastAsia" w:ascii="宋体" w:hAnsi="宋体" w:eastAsia="宋体" w:cs="宋体"/>
          <w:color w:val="FF0000"/>
          <w:sz w:val="24"/>
          <w:szCs w:val="24"/>
        </w:rPr>
        <w:t>交货</w:t>
      </w:r>
      <w:r>
        <w:rPr>
          <w:rFonts w:hint="eastAsia" w:ascii="宋体" w:hAnsi="宋体" w:eastAsia="宋体" w:cs="宋体"/>
          <w:color w:val="FF0000"/>
          <w:sz w:val="24"/>
          <w:szCs w:val="24"/>
          <w:lang w:val="en-US" w:eastAsia="zh-CN"/>
        </w:rPr>
        <w:t>/交付</w:t>
      </w:r>
      <w:r>
        <w:rPr>
          <w:rFonts w:hint="eastAsia" w:ascii="宋体" w:hAnsi="宋体" w:eastAsia="宋体" w:cs="宋体"/>
          <w:color w:val="auto"/>
          <w:sz w:val="24"/>
          <w:szCs w:val="24"/>
        </w:rPr>
        <w:t>处罚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因质量问题我院不同意接收，投标方应向我院支付违约货款额5%违约金并赔偿我院经济损失。</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eastAsia="zh-CN"/>
        </w:rPr>
        <w:t>若</w:t>
      </w:r>
      <w:r>
        <w:rPr>
          <w:rFonts w:hint="eastAsia" w:ascii="宋体" w:hAnsi="宋体" w:eastAsia="宋体" w:cs="宋体"/>
          <w:color w:val="auto"/>
          <w:sz w:val="24"/>
          <w:szCs w:val="24"/>
        </w:rPr>
        <w:t>投标方提供的</w:t>
      </w:r>
      <w:r>
        <w:rPr>
          <w:rFonts w:hint="eastAsia" w:ascii="宋体" w:hAnsi="宋体" w:eastAsia="宋体" w:cs="宋体"/>
          <w:color w:val="auto"/>
          <w:sz w:val="24"/>
          <w:szCs w:val="24"/>
          <w:lang w:eastAsia="zh-CN"/>
        </w:rPr>
        <w:t>产品或软件</w:t>
      </w:r>
      <w:r>
        <w:rPr>
          <w:rFonts w:hint="eastAsia" w:ascii="宋体" w:hAnsi="宋体" w:eastAsia="宋体" w:cs="宋体"/>
          <w:color w:val="auto"/>
          <w:sz w:val="24"/>
          <w:szCs w:val="24"/>
        </w:rPr>
        <w:t>侵犯了第三方合法权益而引发的任何纠纷或诉讼，均由投标方负责交涉并承担全部责任。</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ascii="宋体" w:hAnsi="宋体" w:eastAsia="宋体" w:cs="宋体"/>
          <w:color w:val="FF0000"/>
          <w:sz w:val="24"/>
          <w:szCs w:val="24"/>
        </w:rPr>
      </w:pPr>
      <w:r>
        <w:rPr>
          <w:rFonts w:hint="eastAsia" w:ascii="宋体" w:hAnsi="宋体" w:eastAsia="宋体" w:cs="宋体"/>
          <w:color w:val="FF0000"/>
          <w:sz w:val="24"/>
          <w:szCs w:val="24"/>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6.4</w:t>
      </w:r>
      <w:r>
        <w:rPr>
          <w:rFonts w:hint="eastAsia" w:ascii="宋体" w:hAnsi="宋体" w:eastAsia="宋体" w:cs="宋体"/>
          <w:color w:val="auto"/>
          <w:sz w:val="24"/>
        </w:rPr>
        <w:t> 投标方逾期</w:t>
      </w:r>
      <w:r>
        <w:rPr>
          <w:rFonts w:hint="eastAsia" w:ascii="宋体" w:hAnsi="宋体" w:eastAsia="宋体" w:cs="宋体"/>
          <w:color w:val="FF0000"/>
          <w:sz w:val="24"/>
        </w:rPr>
        <w:t>交货</w:t>
      </w:r>
      <w:r>
        <w:rPr>
          <w:rFonts w:hint="eastAsia" w:ascii="宋体" w:hAnsi="宋体" w:eastAsia="宋体" w:cs="宋体"/>
          <w:color w:val="FF0000"/>
          <w:sz w:val="24"/>
          <w:lang w:val="en-US" w:eastAsia="zh-CN"/>
        </w:rPr>
        <w:t>/交付</w:t>
      </w:r>
      <w:r>
        <w:rPr>
          <w:rFonts w:hint="eastAsia" w:ascii="宋体" w:hAnsi="宋体" w:eastAsia="宋体" w:cs="宋体"/>
          <w:color w:val="auto"/>
          <w:sz w:val="24"/>
        </w:rPr>
        <w:t>的，每天向</w:t>
      </w:r>
      <w:r>
        <w:rPr>
          <w:rFonts w:hint="eastAsia" w:ascii="宋体" w:hAnsi="宋体" w:eastAsia="宋体" w:cs="宋体"/>
          <w:color w:val="auto"/>
          <w:sz w:val="24"/>
          <w:lang w:eastAsia="zh-CN"/>
        </w:rPr>
        <w:t>甲方</w:t>
      </w:r>
      <w:r>
        <w:rPr>
          <w:rFonts w:hint="eastAsia" w:ascii="宋体" w:hAnsi="宋体" w:eastAsia="宋体" w:cs="宋体"/>
          <w:color w:val="auto"/>
          <w:sz w:val="24"/>
        </w:rPr>
        <w:t>偿付违约货款额3‰违约金，但违约金累计不得超过违约货款额 5% ，超过30天对方有权解除合同，违约方承担因此给对方造成的经济损失</w:t>
      </w:r>
      <w:r>
        <w:rPr>
          <w:rFonts w:hint="eastAsia" w:ascii="宋体" w:hAnsi="宋体" w:eastAsia="宋体" w:cs="宋体"/>
          <w:color w:val="auto"/>
          <w:sz w:val="24"/>
          <w:lang w:eastAsia="zh-CN"/>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rPr>
        <w:t>6.5售后服务违约</w:t>
      </w:r>
      <w:r>
        <w:rPr>
          <w:rFonts w:hint="eastAsia" w:ascii="宋体" w:hAnsi="宋体" w:eastAsia="宋体" w:cs="宋体"/>
          <w:color w:val="auto"/>
          <w:sz w:val="24"/>
          <w:lang w:val="en-US" w:eastAsia="zh-CN"/>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6.5.1每缺少1次现场巡检记录，投标方应向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支付违约金5000元</w:t>
      </w:r>
      <w:r>
        <w:rPr>
          <w:rFonts w:hint="eastAsia" w:ascii="宋体" w:hAnsi="宋体" w:eastAsia="宋体" w:cs="宋体"/>
          <w:color w:val="auto"/>
          <w:sz w:val="24"/>
          <w:lang w:val="en-US" w:eastAsia="zh-CN"/>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FF0000"/>
          <w:sz w:val="24"/>
          <w:lang w:val="en-US"/>
        </w:rPr>
      </w:pPr>
      <w:r>
        <w:rPr>
          <w:rFonts w:hint="eastAsia" w:ascii="宋体" w:hAnsi="宋体" w:eastAsia="宋体" w:cs="宋体"/>
          <w:color w:val="FF0000"/>
          <w:sz w:val="24"/>
          <w:lang w:val="en-US"/>
        </w:rPr>
        <w:t>6.5.2不能按本</w:t>
      </w:r>
      <w:r>
        <w:rPr>
          <w:rFonts w:hint="eastAsia" w:ascii="宋体" w:hAnsi="宋体" w:eastAsia="宋体" w:cs="宋体"/>
          <w:color w:val="FF0000"/>
          <w:sz w:val="24"/>
          <w:lang w:val="en-US" w:eastAsia="zh-CN"/>
        </w:rPr>
        <w:t>技术参数文档</w:t>
      </w:r>
      <w:r>
        <w:rPr>
          <w:rFonts w:hint="eastAsia" w:ascii="宋体" w:hAnsi="宋体" w:eastAsia="宋体" w:cs="宋体"/>
          <w:color w:val="FF0000"/>
          <w:sz w:val="24"/>
          <w:lang w:val="en-US"/>
        </w:rPr>
        <w:t>第5.3要求中按时提供设备备件的，故障上报24小时不能免费提供同档次或更高档次的备用设备解决问题，每超期一天，按500元/天</w:t>
      </w:r>
      <w:r>
        <w:rPr>
          <w:rFonts w:hint="eastAsia" w:ascii="宋体" w:hAnsi="宋体" w:eastAsia="宋体" w:cs="宋体"/>
          <w:color w:val="FF0000"/>
          <w:sz w:val="24"/>
          <w:lang w:val="en-US" w:eastAsia="zh-CN"/>
        </w:rPr>
        <w:t>向甲方</w:t>
      </w:r>
      <w:r>
        <w:rPr>
          <w:rFonts w:hint="eastAsia" w:ascii="宋体" w:hAnsi="宋体" w:eastAsia="宋体" w:cs="宋体"/>
          <w:color w:val="FF0000"/>
          <w:sz w:val="24"/>
          <w:lang w:val="en-US"/>
        </w:rPr>
        <w:t>支付违约金</w:t>
      </w:r>
      <w:r>
        <w:rPr>
          <w:rFonts w:hint="eastAsia" w:ascii="宋体" w:hAnsi="宋体" w:eastAsia="宋体" w:cs="宋体"/>
          <w:color w:val="FF0000"/>
          <w:sz w:val="24"/>
          <w:lang w:val="en-US" w:eastAsia="zh-CN"/>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6.5.3 投标方未按本技术要求和响应文件中规定的其他服务承诺提供售后服务的，每次投标方应按合同合计金额的5%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rPr>
        <w:t>6.6合同签订后</w:t>
      </w:r>
      <w:r>
        <w:rPr>
          <w:rFonts w:hint="eastAsia" w:ascii="宋体" w:hAnsi="宋体" w:eastAsia="宋体" w:cs="宋体"/>
          <w:color w:val="FF0000"/>
          <w:sz w:val="24"/>
        </w:rPr>
        <w:t>7个工作日</w:t>
      </w:r>
      <w:r>
        <w:rPr>
          <w:rFonts w:hint="eastAsia" w:ascii="宋体" w:hAnsi="宋体" w:eastAsia="宋体" w:cs="宋体"/>
          <w:color w:val="auto"/>
          <w:sz w:val="24"/>
        </w:rPr>
        <w:t>内进场实施，每个模块计划实施周期需在合同内写明。因</w:t>
      </w:r>
      <w:r>
        <w:rPr>
          <w:rFonts w:hint="eastAsia" w:ascii="宋体" w:hAnsi="宋体" w:eastAsia="宋体" w:cs="宋体"/>
          <w:color w:val="auto"/>
          <w:sz w:val="24"/>
          <w:lang w:eastAsia="zh-CN"/>
        </w:rPr>
        <w:t>软件提供商</w:t>
      </w:r>
      <w:r>
        <w:rPr>
          <w:rFonts w:hint="eastAsia" w:ascii="宋体" w:hAnsi="宋体" w:eastAsia="宋体" w:cs="宋体"/>
          <w:color w:val="auto"/>
          <w:sz w:val="24"/>
        </w:rPr>
        <w:t>原因逾期不进场实施的，需按每天向院方支付合同款金额3‰作为违约金</w:t>
      </w:r>
      <w:r>
        <w:rPr>
          <w:rFonts w:hint="eastAsia" w:ascii="宋体" w:hAnsi="宋体" w:eastAsia="宋体" w:cs="宋体"/>
          <w:color w:val="auto"/>
          <w:sz w:val="24"/>
          <w:lang w:eastAsia="zh-CN"/>
        </w:rPr>
        <w:t>，</w:t>
      </w:r>
      <w:r>
        <w:rPr>
          <w:rFonts w:hint="eastAsia" w:ascii="宋体" w:hAnsi="宋体" w:eastAsia="宋体" w:cs="宋体"/>
          <w:color w:val="auto"/>
          <w:sz w:val="24"/>
        </w:rPr>
        <w:t>超过30天，</w:t>
      </w:r>
      <w:r>
        <w:rPr>
          <w:rFonts w:hint="eastAsia" w:ascii="宋体" w:hAnsi="宋体" w:eastAsia="宋体" w:cs="宋体"/>
          <w:color w:val="auto"/>
          <w:sz w:val="24"/>
          <w:lang w:eastAsia="zh-CN"/>
        </w:rPr>
        <w:t>甲</w:t>
      </w:r>
      <w:r>
        <w:rPr>
          <w:rFonts w:hint="eastAsia" w:ascii="宋体" w:hAnsi="宋体" w:eastAsia="宋体" w:cs="宋体"/>
          <w:color w:val="auto"/>
          <w:sz w:val="24"/>
        </w:rPr>
        <w:t>有权解除合同，</w:t>
      </w:r>
      <w:r>
        <w:rPr>
          <w:rFonts w:hint="eastAsia" w:ascii="宋体" w:hAnsi="宋体" w:eastAsia="宋体" w:cs="宋体"/>
          <w:color w:val="auto"/>
          <w:sz w:val="24"/>
          <w:lang w:eastAsia="zh-CN"/>
        </w:rPr>
        <w:t>乙方</w:t>
      </w:r>
      <w:r>
        <w:rPr>
          <w:rFonts w:hint="eastAsia" w:ascii="宋体" w:hAnsi="宋体" w:eastAsia="宋体" w:cs="宋体"/>
          <w:color w:val="auto"/>
          <w:sz w:val="24"/>
        </w:rPr>
        <w:t>需承担因此给院方造成的经济损失</w:t>
      </w:r>
      <w:r>
        <w:rPr>
          <w:rFonts w:hint="eastAsia" w:ascii="宋体" w:hAnsi="宋体" w:eastAsia="宋体" w:cs="宋体"/>
          <w:color w:val="auto"/>
          <w:sz w:val="24"/>
          <w:lang w:eastAsia="zh-CN"/>
        </w:rPr>
        <w:t>。</w:t>
      </w:r>
      <w:r>
        <w:rPr>
          <w:rFonts w:hint="eastAsia" w:ascii="宋体" w:hAnsi="宋体" w:eastAsia="宋体" w:cs="宋体"/>
          <w:color w:val="auto"/>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违约，</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有权单方面解除合同，并要求</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退回所有医院已支付款项，同时</w:t>
      </w:r>
      <w:r>
        <w:rPr>
          <w:rFonts w:hint="eastAsia" w:ascii="宋体" w:hAnsi="宋体" w:eastAsia="宋体" w:cs="宋体"/>
          <w:color w:val="auto"/>
          <w:sz w:val="24"/>
          <w:lang w:val="en-US" w:eastAsia="zh-CN"/>
        </w:rPr>
        <w:t>按</w:t>
      </w:r>
      <w:r>
        <w:rPr>
          <w:rFonts w:hint="eastAsia" w:ascii="宋体" w:hAnsi="宋体" w:eastAsia="宋体" w:cs="宋体"/>
          <w:color w:val="auto"/>
          <w:sz w:val="24"/>
          <w:lang w:val="en-US"/>
        </w:rPr>
        <w:t>合同总金额的20%做为违约金</w:t>
      </w:r>
      <w:r>
        <w:rPr>
          <w:rFonts w:hint="eastAsia" w:ascii="宋体" w:hAnsi="宋体" w:eastAsia="宋体" w:cs="宋体"/>
          <w:color w:val="auto"/>
          <w:sz w:val="24"/>
          <w:lang w:val="en-US" w:eastAsia="zh-CN"/>
        </w:rPr>
        <w:t>支付给甲方</w:t>
      </w:r>
      <w:r>
        <w:rPr>
          <w:rFonts w:hint="eastAsia" w:ascii="宋体" w:hAnsi="宋体" w:eastAsia="宋体" w:cs="宋体"/>
          <w:color w:val="auto"/>
          <w:sz w:val="24"/>
          <w:lang w:val="en-US"/>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6.7任何一方违反本技术要求中“保密、廉洁条款”要求的，应承担相应的违约责任并赔偿由此造成的损失，损失累计金额超过合同款项的5%的，损失方同时有权终止合同并收回已付款项。</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6.</w:t>
      </w:r>
      <w:r>
        <w:rPr>
          <w:rFonts w:hint="eastAsia" w:ascii="宋体" w:hAnsi="宋体" w:eastAsia="宋体" w:cs="宋体"/>
          <w:color w:val="auto"/>
          <w:sz w:val="24"/>
          <w:lang w:val="en-US" w:eastAsia="zh-CN"/>
        </w:rPr>
        <w:t>8厂商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方未按本技术要求和响应文件中规定的其他服务承诺提供售后服务的，按损失情况，每次应按合同合计金额的0.1‰-0.1%</w:t>
      </w:r>
      <w:r>
        <w:rPr>
          <w:rFonts w:hint="eastAsia" w:ascii="宋体" w:hAnsi="宋体" w:eastAsia="宋体" w:cs="宋体"/>
          <w:color w:val="auto"/>
          <w:sz w:val="24"/>
          <w:lang w:val="en-US" w:eastAsia="zh-CN"/>
        </w:rPr>
        <w:t>由乙方</w:t>
      </w:r>
      <w:r>
        <w:rPr>
          <w:rFonts w:hint="eastAsia" w:ascii="宋体" w:hAnsi="宋体" w:eastAsia="宋体" w:cs="宋体"/>
          <w:color w:val="auto"/>
          <w:sz w:val="24"/>
          <w:lang w:val="en-US"/>
        </w:rPr>
        <w:t>向甲方支付违约金，损失累计金额超过合同款项的5%的，损失方同时有权终止合同并收回已付款项。</w:t>
      </w:r>
    </w:p>
    <w:p>
      <w:pPr>
        <w:pStyle w:val="5"/>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6.9厂商不得在提供的硬件及软件系统中设置包括且不限于如：软硬件加密狗、加密软件、时间锁、授权码等限制硬件及软件系统正常运行的措施，</w:t>
      </w:r>
      <w:r>
        <w:rPr>
          <w:rFonts w:hint="eastAsia" w:ascii="宋体" w:hAnsi="宋体" w:cs="宋体"/>
          <w:kern w:val="2"/>
          <w:sz w:val="24"/>
          <w:lang w:val="en-US"/>
        </w:rPr>
        <w:t>，</w:t>
      </w:r>
      <w:r>
        <w:rPr>
          <w:rFonts w:ascii="宋体" w:hAnsi="宋体" w:cs="宋体"/>
          <w:kern w:val="2"/>
          <w:sz w:val="24"/>
          <w:lang w:val="en-US"/>
        </w:rPr>
        <w:t>如有</w:t>
      </w:r>
      <w:r>
        <w:rPr>
          <w:rFonts w:hint="eastAsia" w:ascii="宋体" w:hAnsi="宋体" w:cs="宋体"/>
          <w:kern w:val="2"/>
          <w:sz w:val="24"/>
          <w:lang w:val="en-US"/>
        </w:rPr>
        <w:t>特殊</w:t>
      </w:r>
      <w:r>
        <w:rPr>
          <w:rFonts w:ascii="宋体" w:hAnsi="宋体" w:cs="宋体"/>
          <w:kern w:val="2"/>
          <w:sz w:val="24"/>
          <w:lang w:val="en-US"/>
        </w:rPr>
        <w:t>需要</w:t>
      </w:r>
      <w:r>
        <w:rPr>
          <w:rFonts w:hint="eastAsia" w:ascii="宋体" w:hAnsi="宋体" w:cs="宋体"/>
          <w:kern w:val="2"/>
          <w:sz w:val="24"/>
          <w:lang w:val="en-US"/>
        </w:rPr>
        <w:t>必须提交</w:t>
      </w:r>
      <w:r>
        <w:rPr>
          <w:rFonts w:ascii="宋体" w:hAnsi="宋体" w:cs="宋体"/>
          <w:kern w:val="2"/>
          <w:sz w:val="24"/>
          <w:lang w:val="en-US"/>
        </w:rPr>
        <w:t>纸质</w:t>
      </w:r>
      <w:r>
        <w:rPr>
          <w:rFonts w:hint="eastAsia" w:ascii="宋体" w:hAnsi="宋体" w:cs="宋体"/>
          <w:kern w:val="2"/>
          <w:sz w:val="24"/>
          <w:lang w:val="en-US"/>
        </w:rPr>
        <w:t>文件说明</w:t>
      </w:r>
      <w:r>
        <w:rPr>
          <w:rFonts w:ascii="宋体" w:hAnsi="宋体" w:cs="宋体"/>
          <w:kern w:val="2"/>
          <w:sz w:val="24"/>
          <w:lang w:val="en-US"/>
        </w:rPr>
        <w:t>，经过我院</w:t>
      </w:r>
      <w:r>
        <w:rPr>
          <w:rFonts w:hint="eastAsia" w:ascii="宋体" w:hAnsi="宋体" w:cs="宋体"/>
          <w:kern w:val="2"/>
          <w:sz w:val="24"/>
          <w:lang w:val="en-US"/>
        </w:rPr>
        <w:t>签字同意</w:t>
      </w:r>
      <w:r>
        <w:rPr>
          <w:rFonts w:ascii="宋体" w:hAnsi="宋体" w:cs="宋体"/>
          <w:kern w:val="2"/>
          <w:sz w:val="24"/>
          <w:lang w:val="en-US"/>
        </w:rPr>
        <w:t>才可设置</w:t>
      </w:r>
      <w:r>
        <w:rPr>
          <w:rFonts w:hint="eastAsia" w:ascii="宋体" w:hAnsi="宋体" w:cs="宋体"/>
          <w:kern w:val="2"/>
          <w:sz w:val="24"/>
          <w:lang w:val="en-US" w:eastAsia="zh-CN"/>
        </w:rPr>
        <w:t>，</w:t>
      </w:r>
      <w:r>
        <w:rPr>
          <w:rFonts w:hint="eastAsia" w:ascii="宋体" w:hAnsi="宋体" w:eastAsia="宋体" w:cs="宋体"/>
          <w:color w:val="auto"/>
          <w:kern w:val="2"/>
          <w:sz w:val="24"/>
          <w:szCs w:val="24"/>
          <w:lang w:val="en-US" w:eastAsia="zh-CN" w:bidi="ar-SA"/>
        </w:rPr>
        <w:t>否则视为乙方违约，乙方需要支付医院违约金500000元伍拾万元，在此基础上医院有权要求乙方退回甲方已支付的所有款项。如对医院造成损失的，甲方有权要求乙方赔偿。</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6.10</w:t>
      </w:r>
      <w:r>
        <w:rPr>
          <w:rFonts w:hint="default" w:ascii="宋体" w:hAnsi="宋体" w:eastAsia="宋体" w:cs="宋体"/>
          <w:color w:val="auto"/>
          <w:kern w:val="2"/>
          <w:sz w:val="24"/>
          <w:szCs w:val="24"/>
          <w:lang w:val="en-US" w:eastAsia="zh-CN" w:bidi="ar-SA"/>
        </w:rPr>
        <w:t>厂商驻场工程师人员变更必须得到医院书面同意，否则视为</w:t>
      </w:r>
      <w:r>
        <w:rPr>
          <w:rFonts w:hint="eastAsia" w:ascii="宋体" w:hAnsi="宋体" w:eastAsia="宋体" w:cs="宋体"/>
          <w:color w:val="auto"/>
          <w:kern w:val="2"/>
          <w:sz w:val="24"/>
          <w:szCs w:val="24"/>
          <w:lang w:val="en-US" w:eastAsia="zh-CN" w:bidi="ar-SA"/>
        </w:rPr>
        <w:t>乙方</w:t>
      </w:r>
      <w:r>
        <w:rPr>
          <w:rFonts w:hint="default" w:ascii="宋体" w:hAnsi="宋体" w:eastAsia="宋体" w:cs="宋体"/>
          <w:color w:val="auto"/>
          <w:kern w:val="2"/>
          <w:sz w:val="24"/>
          <w:szCs w:val="24"/>
          <w:lang w:val="en-US" w:eastAsia="zh-CN" w:bidi="ar-SA"/>
        </w:rPr>
        <w:t>违约，</w:t>
      </w:r>
      <w:r>
        <w:rPr>
          <w:rFonts w:hint="eastAsia" w:ascii="宋体" w:hAnsi="宋体" w:eastAsia="宋体" w:cs="宋体"/>
          <w:color w:val="auto"/>
          <w:kern w:val="2"/>
          <w:sz w:val="24"/>
          <w:szCs w:val="24"/>
          <w:lang w:val="en-US" w:eastAsia="zh-CN" w:bidi="ar-SA"/>
        </w:rPr>
        <w:t>甲</w:t>
      </w:r>
      <w:r>
        <w:rPr>
          <w:rFonts w:hint="default" w:ascii="宋体" w:hAnsi="宋体" w:eastAsia="宋体" w:cs="宋体"/>
          <w:color w:val="auto"/>
          <w:kern w:val="2"/>
          <w:sz w:val="24"/>
          <w:szCs w:val="24"/>
          <w:lang w:val="en-US" w:eastAsia="zh-CN" w:bidi="ar-SA"/>
        </w:rPr>
        <w:t>方有权按500</w:t>
      </w:r>
      <w:r>
        <w:rPr>
          <w:rFonts w:hint="eastAsia" w:ascii="宋体" w:hAnsi="宋体" w:eastAsia="宋体" w:cs="宋体"/>
          <w:color w:val="auto"/>
          <w:kern w:val="2"/>
          <w:sz w:val="24"/>
          <w:szCs w:val="24"/>
          <w:lang w:val="en-US" w:eastAsia="zh-CN" w:bidi="ar-SA"/>
        </w:rPr>
        <w:t>0</w:t>
      </w:r>
      <w:r>
        <w:rPr>
          <w:rFonts w:hint="default" w:ascii="宋体" w:hAnsi="宋体" w:eastAsia="宋体" w:cs="宋体"/>
          <w:color w:val="auto"/>
          <w:kern w:val="2"/>
          <w:sz w:val="24"/>
          <w:szCs w:val="24"/>
          <w:lang w:val="en-US" w:eastAsia="zh-CN" w:bidi="ar-SA"/>
        </w:rPr>
        <w:t>0元/人/次从合同总款中扣除</w:t>
      </w:r>
      <w:r>
        <w:rPr>
          <w:rFonts w:hint="eastAsia" w:ascii="宋体" w:hAnsi="宋体" w:eastAsia="宋体" w:cs="宋体"/>
          <w:color w:val="auto"/>
          <w:kern w:val="2"/>
          <w:sz w:val="24"/>
          <w:szCs w:val="24"/>
          <w:lang w:val="en-US" w:eastAsia="zh-CN" w:bidi="ar-SA"/>
        </w:rPr>
        <w:t>。</w:t>
      </w:r>
    </w:p>
    <w:p>
      <w:pPr>
        <w:pStyle w:val="5"/>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pPr>
        <w:pStyle w:val="5"/>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bookmarkStart w:id="2" w:name="_Toc507405799"/>
      <w:bookmarkStart w:id="3" w:name="_Toc507405800"/>
      <w:r>
        <w:rPr>
          <w:rFonts w:hint="eastAsia" w:ascii="宋体" w:hAnsi="宋体" w:eastAsia="宋体" w:cs="宋体"/>
          <w:b/>
          <w:bCs/>
          <w:color w:val="auto"/>
          <w:sz w:val="28"/>
          <w:lang w:val="en-US"/>
        </w:rPr>
        <w:t>七、保密、廉洁协议</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双方不得以任何方式向第三方泄露本项目的软件技术、设计方案以及功能配置等内容。</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7.3不以任何方式向第三方泄露在本协议开发实施过程中获取的经济、技术、数据以及双方其他非公开的信息。</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7.5保密期限自本合同生效之日起永久有效，如乙方需解除保密协议需向甲方提出书面申请，双方协商同意签字确认后方可解除。</w:t>
      </w:r>
    </w:p>
    <w:p>
      <w:pPr>
        <w:pStyle w:val="5"/>
        <w:pageBreakBefore w:val="0"/>
        <w:widowControl w:val="0"/>
        <w:kinsoku/>
        <w:wordWrap/>
        <w:overflowPunct/>
        <w:topLinePunct w:val="0"/>
        <w:autoSpaceDE/>
        <w:autoSpaceDN/>
        <w:bidi w:val="0"/>
        <w:adjustRightInd/>
        <w:snapToGrid/>
        <w:spacing w:after="0" w:line="312" w:lineRule="auto"/>
        <w:textAlignment w:val="auto"/>
        <w:rPr>
          <w:color w:val="auto"/>
          <w:lang w:val="en-US"/>
        </w:rPr>
      </w:pPr>
    </w:p>
    <w:p>
      <w:pPr>
        <w:pStyle w:val="5"/>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八、报价</w:t>
      </w:r>
    </w:p>
    <w:p>
      <w:pPr>
        <w:pStyle w:val="5"/>
        <w:keepNext w:val="0"/>
        <w:keepLines w:val="0"/>
        <w:pageBreakBefore w:val="0"/>
        <w:widowControl w:val="0"/>
        <w:numPr>
          <w:numId w:val="0"/>
        </w:numPr>
        <w:kinsoku/>
        <w:wordWrap/>
        <w:overflowPunct/>
        <w:topLinePunct w:val="0"/>
        <w:autoSpaceDE/>
        <w:autoSpaceDN/>
        <w:bidi w:val="0"/>
        <w:adjustRightInd/>
        <w:snapToGrid/>
        <w:spacing w:line="312" w:lineRule="auto"/>
        <w:ind w:leftChars="0" w:right="0" w:rightChars="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 xml:space="preserve">8.1 </w:t>
      </w:r>
      <w:r>
        <w:rPr>
          <w:rFonts w:hint="eastAsia" w:ascii="宋体" w:hAnsi="宋体" w:eastAsia="宋体" w:cs="宋体"/>
          <w:color w:val="FF0000"/>
          <w:sz w:val="24"/>
          <w:szCs w:val="24"/>
        </w:rPr>
        <w:t>竞标文件按系统模块报价，报价表价格包含系统软硬件费用、产品安装、调试实施、培训费用、产品升级</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接口费（包括第三方厂家的接口费）等</w:t>
      </w:r>
      <w:r>
        <w:rPr>
          <w:rFonts w:hint="eastAsia" w:ascii="宋体" w:hAnsi="宋体" w:eastAsia="宋体" w:cs="宋体"/>
          <w:color w:val="FF0000"/>
          <w:sz w:val="24"/>
          <w:szCs w:val="24"/>
        </w:rPr>
        <w:t>费用，以及明示所有责任、义务和一切风险。</w:t>
      </w:r>
    </w:p>
    <w:p>
      <w:pPr>
        <w:pStyle w:val="5"/>
        <w:keepNext w:val="0"/>
        <w:keepLines w:val="0"/>
        <w:pageBreakBefore w:val="0"/>
        <w:widowControl w:val="0"/>
        <w:numPr>
          <w:numId w:val="0"/>
        </w:numPr>
        <w:kinsoku/>
        <w:wordWrap/>
        <w:overflowPunct/>
        <w:topLinePunct w:val="0"/>
        <w:autoSpaceDE/>
        <w:autoSpaceDN/>
        <w:bidi w:val="0"/>
        <w:adjustRightInd/>
        <w:snapToGrid/>
        <w:spacing w:line="312" w:lineRule="auto"/>
        <w:ind w:leftChars="0" w:right="0" w:rightChars="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 xml:space="preserve">8.2 </w:t>
      </w:r>
      <w:r>
        <w:rPr>
          <w:rFonts w:hint="eastAsia" w:ascii="宋体" w:hAnsi="宋体" w:eastAsia="宋体" w:cs="宋体"/>
          <w:color w:val="FF0000"/>
          <w:sz w:val="24"/>
          <w:szCs w:val="24"/>
          <w:lang w:eastAsia="zh-CN"/>
        </w:rPr>
        <w:t>竞标文件需提供质保期到期后续保的报价。</w:t>
      </w:r>
      <w:bookmarkStart w:id="4" w:name="_GoBack"/>
      <w:bookmarkEnd w:id="4"/>
    </w:p>
    <w:p>
      <w:pPr>
        <w:pStyle w:val="5"/>
        <w:keepNext w:val="0"/>
        <w:keepLines w:val="0"/>
        <w:pageBreakBefore w:val="0"/>
        <w:widowControl w:val="0"/>
        <w:numPr>
          <w:numId w:val="0"/>
        </w:numPr>
        <w:kinsoku/>
        <w:wordWrap/>
        <w:overflowPunct/>
        <w:topLinePunct w:val="0"/>
        <w:autoSpaceDE/>
        <w:autoSpaceDN/>
        <w:bidi w:val="0"/>
        <w:adjustRightInd/>
        <w:snapToGrid/>
        <w:spacing w:line="312" w:lineRule="auto"/>
        <w:ind w:leftChars="0" w:right="0" w:rightChars="0" w:firstLine="480" w:firstLineChars="200"/>
        <w:textAlignment w:val="auto"/>
        <w:rPr>
          <w:rFonts w:ascii="宋体" w:hAnsi="宋体" w:eastAsia="宋体" w:cs="宋体"/>
          <w:strike w:val="0"/>
          <w:dstrike w:val="0"/>
          <w:color w:val="FF0000"/>
          <w:sz w:val="24"/>
          <w:szCs w:val="24"/>
        </w:rPr>
      </w:pPr>
      <w:r>
        <w:rPr>
          <w:rFonts w:hint="eastAsia" w:ascii="宋体" w:hAnsi="宋体" w:eastAsia="宋体" w:cs="宋体"/>
          <w:strike w:val="0"/>
          <w:dstrike w:val="0"/>
          <w:color w:val="FF0000"/>
          <w:sz w:val="24"/>
          <w:szCs w:val="24"/>
          <w:lang w:val="en-US" w:eastAsia="zh-CN"/>
        </w:rPr>
        <w:t xml:space="preserve">8.3 </w:t>
      </w:r>
      <w:r>
        <w:rPr>
          <w:rFonts w:hint="eastAsia" w:ascii="宋体" w:hAnsi="宋体" w:eastAsia="宋体" w:cs="宋体"/>
          <w:strike w:val="0"/>
          <w:dstrike w:val="0"/>
          <w:color w:val="FF0000"/>
          <w:sz w:val="24"/>
          <w:szCs w:val="24"/>
          <w:lang w:eastAsia="zh-CN"/>
        </w:rPr>
        <w:t>竞标文件需提供系统详细图文介绍。系统实施验收参照本技术文档及竞标文件提供的图文介绍为依据。</w:t>
      </w:r>
    </w:p>
    <w:p>
      <w:pPr>
        <w:pStyle w:val="4"/>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color w:val="FF0000"/>
          <w:sz w:val="32"/>
          <w:szCs w:val="32"/>
        </w:rPr>
      </w:pPr>
      <w:r>
        <w:rPr>
          <w:rFonts w:hint="eastAsia" w:ascii="宋体" w:hAnsi="宋体"/>
          <w:bCs w:val="0"/>
          <w:color w:val="FF0000"/>
          <w:sz w:val="32"/>
          <w:szCs w:val="32"/>
        </w:rPr>
        <w:t>九、付款方式</w:t>
      </w:r>
      <w:bookmarkEnd w:id="2"/>
    </w:p>
    <w:bookmarkEnd w:id="3"/>
    <w:p>
      <w:pPr>
        <w:keepNext w:val="0"/>
        <w:keepLines w:val="0"/>
        <w:pageBreakBefore w:val="0"/>
        <w:widowControl w:val="0"/>
        <w:kinsoku/>
        <w:wordWrap/>
        <w:overflowPunct/>
        <w:topLinePunct w:val="0"/>
        <w:autoSpaceDE/>
        <w:autoSpaceDN/>
        <w:bidi w:val="0"/>
        <w:adjustRightInd/>
        <w:snapToGrid/>
        <w:spacing w:line="312" w:lineRule="auto"/>
        <w:ind w:right="0" w:rightChars="0" w:firstLine="480" w:firstLineChars="200"/>
        <w:jc w:val="left"/>
        <w:textAlignment w:val="auto"/>
        <w:rPr>
          <w:rFonts w:ascii="宋体" w:hAnsi="宋体" w:eastAsia="宋体" w:cs="微软雅黑"/>
          <w:color w:val="FF0000"/>
          <w:sz w:val="24"/>
          <w:szCs w:val="24"/>
        </w:rPr>
      </w:pPr>
      <w:r>
        <w:rPr>
          <w:rFonts w:hint="eastAsia" w:ascii="宋体" w:hAnsi="宋体" w:eastAsia="宋体" w:cs="微软雅黑"/>
          <w:color w:val="FF0000"/>
          <w:sz w:val="24"/>
          <w:szCs w:val="24"/>
        </w:rPr>
        <w:t>项目双方签订合同，项目</w:t>
      </w:r>
      <w:r>
        <w:rPr>
          <w:rFonts w:hint="eastAsia" w:ascii="宋体" w:hAnsi="宋体" w:eastAsia="宋体" w:cs="微软雅黑"/>
          <w:color w:val="FF0000"/>
          <w:sz w:val="24"/>
          <w:szCs w:val="24"/>
          <w:lang w:val="en-US" w:eastAsia="zh-CN"/>
        </w:rPr>
        <w:t>上线稳定运行</w:t>
      </w:r>
      <w:r>
        <w:rPr>
          <w:rFonts w:hint="eastAsia" w:ascii="宋体" w:hAnsi="宋体" w:eastAsia="宋体" w:cs="微软雅黑"/>
          <w:color w:val="FF0000"/>
          <w:sz w:val="24"/>
          <w:szCs w:val="24"/>
        </w:rPr>
        <w:t>1个月后，用户支付合同款项的30%；合同中的模块实施完毕，上线稳定运行3个月后，启动验收，验收合格后</w:t>
      </w:r>
      <w:r>
        <w:rPr>
          <w:rFonts w:hint="eastAsia" w:ascii="宋体" w:hAnsi="宋体" w:eastAsia="宋体" w:cs="微软雅黑"/>
          <w:color w:val="FF0000"/>
          <w:sz w:val="24"/>
          <w:szCs w:val="24"/>
          <w:lang w:eastAsia="zh-CN"/>
        </w:rPr>
        <w:t>支</w:t>
      </w:r>
      <w:r>
        <w:rPr>
          <w:rFonts w:hint="eastAsia" w:ascii="宋体" w:hAnsi="宋体" w:eastAsia="宋体" w:cs="微软雅黑"/>
          <w:color w:val="FF0000"/>
          <w:sz w:val="24"/>
          <w:szCs w:val="24"/>
        </w:rPr>
        <w:t>付合同款项的60%</w:t>
      </w:r>
      <w:r>
        <w:rPr>
          <w:rFonts w:hint="eastAsia" w:ascii="宋体" w:hAnsi="宋体" w:eastAsia="宋体" w:cs="微软雅黑"/>
          <w:color w:val="FF0000"/>
          <w:sz w:val="24"/>
          <w:szCs w:val="24"/>
          <w:lang w:val="en-US" w:eastAsia="zh-CN"/>
        </w:rPr>
        <w:t>；</w:t>
      </w:r>
      <w:r>
        <w:rPr>
          <w:rFonts w:hint="eastAsia" w:ascii="宋体" w:hAnsi="宋体" w:eastAsia="宋体" w:cs="微软雅黑"/>
          <w:color w:val="FF0000"/>
          <w:sz w:val="24"/>
          <w:szCs w:val="24"/>
        </w:rPr>
        <w:t>自验收合格之日起，1年后</w:t>
      </w:r>
      <w:r>
        <w:rPr>
          <w:rFonts w:hint="eastAsia" w:ascii="宋体" w:hAnsi="宋体" w:eastAsia="宋体" w:cs="微软雅黑"/>
          <w:color w:val="FF0000"/>
          <w:sz w:val="24"/>
          <w:szCs w:val="24"/>
          <w:lang w:eastAsia="zh-CN"/>
        </w:rPr>
        <w:t>支</w:t>
      </w:r>
      <w:r>
        <w:rPr>
          <w:rFonts w:hint="eastAsia" w:ascii="宋体" w:hAnsi="宋体" w:eastAsia="宋体" w:cs="微软雅黑"/>
          <w:color w:val="FF0000"/>
          <w:sz w:val="24"/>
          <w:szCs w:val="24"/>
        </w:rPr>
        <w:t>付10%</w:t>
      </w:r>
      <w:r>
        <w:rPr>
          <w:rFonts w:hint="eastAsia" w:ascii="宋体" w:hAnsi="宋体" w:eastAsia="宋体" w:cs="微软雅黑"/>
          <w:color w:val="FF0000"/>
          <w:sz w:val="24"/>
          <w:szCs w:val="24"/>
          <w:lang w:eastAsia="zh-CN"/>
        </w:rPr>
        <w:t>（不含利息）</w:t>
      </w:r>
      <w:r>
        <w:rPr>
          <w:rFonts w:hint="eastAsia" w:ascii="宋体" w:hAnsi="宋体" w:eastAsia="宋体" w:cs="微软雅黑"/>
          <w:color w:val="FF0000"/>
          <w:sz w:val="24"/>
          <w:szCs w:val="24"/>
        </w:rPr>
        <w:t>。</w:t>
      </w:r>
    </w:p>
    <w:p>
      <w:pPr>
        <w:pStyle w:val="5"/>
        <w:pageBreakBefore w:val="0"/>
        <w:widowControl w:val="0"/>
        <w:kinsoku/>
        <w:wordWrap/>
        <w:overflowPunct/>
        <w:topLinePunct w:val="0"/>
        <w:autoSpaceDE/>
        <w:autoSpaceDN/>
        <w:bidi w:val="0"/>
        <w:adjustRightInd/>
        <w:snapToGrid/>
        <w:spacing w:after="0" w:line="312" w:lineRule="auto"/>
        <w:textAlignment w:val="auto"/>
      </w:pPr>
    </w:p>
    <w:p>
      <w:pPr>
        <w:pStyle w:val="5"/>
        <w:pageBreakBefore w:val="0"/>
        <w:widowControl w:val="0"/>
        <w:kinsoku/>
        <w:wordWrap/>
        <w:overflowPunct/>
        <w:topLinePunct w:val="0"/>
        <w:autoSpaceDE/>
        <w:autoSpaceDN/>
        <w:bidi w:val="0"/>
        <w:adjustRightInd/>
        <w:snapToGrid/>
        <w:spacing w:after="0" w:line="312" w:lineRule="auto"/>
        <w:textAlignment w:val="auto"/>
        <w:rPr>
          <w:sz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4"/>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06963D"/>
    <w:multiLevelType w:val="singleLevel"/>
    <w:tmpl w:val="6406963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OWE0M2Y5OWYwZTYyYWYwNmUzNWIwNzlhMjAzZWIifQ=="/>
  </w:docVars>
  <w:rsids>
    <w:rsidRoot w:val="003E62DF"/>
    <w:rsid w:val="000E2410"/>
    <w:rsid w:val="001A11FC"/>
    <w:rsid w:val="001A1C12"/>
    <w:rsid w:val="002A29C0"/>
    <w:rsid w:val="00306E6E"/>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38608DA"/>
    <w:rsid w:val="06DF14B2"/>
    <w:rsid w:val="0A791D80"/>
    <w:rsid w:val="0D6A407F"/>
    <w:rsid w:val="0F2A1F3D"/>
    <w:rsid w:val="109B068D"/>
    <w:rsid w:val="14782DB8"/>
    <w:rsid w:val="14AF00BD"/>
    <w:rsid w:val="153D4F2B"/>
    <w:rsid w:val="165C1DAE"/>
    <w:rsid w:val="16ED2D59"/>
    <w:rsid w:val="17536FF6"/>
    <w:rsid w:val="19151124"/>
    <w:rsid w:val="1A251034"/>
    <w:rsid w:val="1AA944D3"/>
    <w:rsid w:val="1B5C436C"/>
    <w:rsid w:val="1B91509A"/>
    <w:rsid w:val="1D9262D5"/>
    <w:rsid w:val="1D9E4B46"/>
    <w:rsid w:val="22293C01"/>
    <w:rsid w:val="224243ED"/>
    <w:rsid w:val="22C90898"/>
    <w:rsid w:val="24DA1462"/>
    <w:rsid w:val="251F0377"/>
    <w:rsid w:val="25D43FBF"/>
    <w:rsid w:val="26AA16D4"/>
    <w:rsid w:val="284C2F0D"/>
    <w:rsid w:val="2E55261B"/>
    <w:rsid w:val="34465675"/>
    <w:rsid w:val="34A02F04"/>
    <w:rsid w:val="367D4F11"/>
    <w:rsid w:val="3A965B44"/>
    <w:rsid w:val="3B4F3BCB"/>
    <w:rsid w:val="3D655CAD"/>
    <w:rsid w:val="3DCF123E"/>
    <w:rsid w:val="3FFE146B"/>
    <w:rsid w:val="41971DBD"/>
    <w:rsid w:val="455A3219"/>
    <w:rsid w:val="480C0CC5"/>
    <w:rsid w:val="49C017DB"/>
    <w:rsid w:val="4BBE64CF"/>
    <w:rsid w:val="4F640350"/>
    <w:rsid w:val="507D710A"/>
    <w:rsid w:val="50844495"/>
    <w:rsid w:val="508670F0"/>
    <w:rsid w:val="50A873B9"/>
    <w:rsid w:val="52C84CF5"/>
    <w:rsid w:val="54361EC0"/>
    <w:rsid w:val="54E82BB7"/>
    <w:rsid w:val="55B43D13"/>
    <w:rsid w:val="56864135"/>
    <w:rsid w:val="585573E7"/>
    <w:rsid w:val="5A334C18"/>
    <w:rsid w:val="5C6164F3"/>
    <w:rsid w:val="5EEF047E"/>
    <w:rsid w:val="606A2F3D"/>
    <w:rsid w:val="63EF6D4C"/>
    <w:rsid w:val="65EF576E"/>
    <w:rsid w:val="67234BE8"/>
    <w:rsid w:val="68B72934"/>
    <w:rsid w:val="69A9737D"/>
    <w:rsid w:val="6A5B6461"/>
    <w:rsid w:val="6C906863"/>
    <w:rsid w:val="6CED0739"/>
    <w:rsid w:val="6DB5092A"/>
    <w:rsid w:val="711C77D0"/>
    <w:rsid w:val="73051406"/>
    <w:rsid w:val="73F71B2F"/>
    <w:rsid w:val="75D132D6"/>
    <w:rsid w:val="76C64F98"/>
    <w:rsid w:val="79792DFF"/>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 w:type="paragraph" w:styleId="5">
    <w:name w:val="Body Text"/>
    <w:basedOn w:val="1"/>
    <w:link w:val="15"/>
    <w:qFormat/>
    <w:uiPriority w:val="0"/>
    <w:pPr>
      <w:spacing w:after="120"/>
    </w:pPr>
    <w:rPr>
      <w:rFonts w:ascii="Times New Roman" w:hAnsi="Times New Roman"/>
      <w:kern w:val="0"/>
      <w:sz w:val="20"/>
      <w:szCs w:val="24"/>
      <w:lang w:val="zh-CN"/>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34"/>
    <w:pPr>
      <w:ind w:firstLine="420" w:firstLineChars="200"/>
    </w:pPr>
  </w:style>
  <w:style w:type="paragraph" w:customStyle="1" w:styleId="12">
    <w:name w:val="p15"/>
    <w:basedOn w:val="1"/>
    <w:qFormat/>
    <w:uiPriority w:val="0"/>
    <w:pPr>
      <w:widowControl/>
      <w:ind w:firstLine="420"/>
    </w:pPr>
    <w:rPr>
      <w:kern w:val="0"/>
      <w:szCs w:val="21"/>
    </w:rPr>
  </w:style>
  <w:style w:type="character" w:customStyle="1" w:styleId="13">
    <w:name w:val="页眉 字符"/>
    <w:basedOn w:val="10"/>
    <w:link w:val="7"/>
    <w:qFormat/>
    <w:uiPriority w:val="0"/>
    <w:rPr>
      <w:rFonts w:asciiTheme="minorHAnsi" w:hAnsiTheme="minorHAnsi" w:eastAsiaTheme="minorEastAsia" w:cstheme="minorBidi"/>
      <w:kern w:val="2"/>
      <w:sz w:val="18"/>
      <w:szCs w:val="18"/>
    </w:rPr>
  </w:style>
  <w:style w:type="character" w:customStyle="1" w:styleId="14">
    <w:name w:val="页脚 字符"/>
    <w:basedOn w:val="10"/>
    <w:link w:val="6"/>
    <w:qFormat/>
    <w:uiPriority w:val="0"/>
    <w:rPr>
      <w:rFonts w:asciiTheme="minorHAnsi" w:hAnsiTheme="minorHAnsi" w:eastAsiaTheme="minorEastAsia" w:cstheme="minorBidi"/>
      <w:kern w:val="2"/>
      <w:sz w:val="18"/>
      <w:szCs w:val="18"/>
    </w:rPr>
  </w:style>
  <w:style w:type="character" w:customStyle="1" w:styleId="15">
    <w:name w:val="正文文本 字符"/>
    <w:basedOn w:val="10"/>
    <w:link w:val="5"/>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5932</Words>
  <Characters>6084</Characters>
  <Lines>26</Lines>
  <Paragraphs>7</Paragraphs>
  <TotalTime>2</TotalTime>
  <ScaleCrop>false</ScaleCrop>
  <LinksUpToDate>false</LinksUpToDate>
  <CharactersWithSpaces>6110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阿信</cp:lastModifiedBy>
  <dcterms:modified xsi:type="dcterms:W3CDTF">2023-03-14T08:39:31Z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5C780793F8B14EC8B4186B69ECF776E5</vt:lpwstr>
  </property>
</Properties>
</file>