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0"/>
          <w:szCs w:val="30"/>
          <w:lang w:eastAsia="zh-CN"/>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rPr>
        <w:t>病理管理</w:t>
      </w:r>
      <w:r>
        <w:rPr>
          <w:rFonts w:hint="eastAsia" w:ascii="宋体" w:hAnsi="宋体" w:eastAsia="宋体" w:cs="微软雅黑"/>
          <w:b/>
          <w:bCs/>
          <w:kern w:val="44"/>
          <w:sz w:val="30"/>
          <w:szCs w:val="30"/>
          <w:lang w:val="en-US" w:eastAsia="zh-CN"/>
        </w:rPr>
        <w:t>系统</w:t>
      </w:r>
      <w:r>
        <w:rPr>
          <w:rFonts w:hint="eastAsia" w:ascii="宋体" w:hAnsi="宋体" w:eastAsia="宋体" w:cs="微软雅黑"/>
          <w:b/>
          <w:bCs/>
          <w:kern w:val="44"/>
          <w:sz w:val="30"/>
          <w:szCs w:val="30"/>
        </w:rPr>
        <w:t>（综合报告工作站）技术参数</w:t>
      </w:r>
      <w:r>
        <w:rPr>
          <w:rFonts w:hint="eastAsia" w:ascii="宋体" w:hAnsi="宋体" w:eastAsia="宋体" w:cs="微软雅黑"/>
          <w:b/>
          <w:bCs/>
          <w:kern w:val="44"/>
          <w:sz w:val="30"/>
          <w:szCs w:val="30"/>
          <w:lang w:eastAsia="zh-CN"/>
        </w:rPr>
        <w:t>要求</w:t>
      </w:r>
    </w:p>
    <w:p>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rPr>
      </w:pPr>
    </w:p>
    <w:bookmarkEnd w:id="0"/>
    <w:p>
      <w:pPr>
        <w:pStyle w:val="11"/>
        <w:pageBreakBefore w:val="0"/>
        <w:widowControl w:val="0"/>
        <w:numPr>
          <w:ilvl w:val="0"/>
          <w:numId w:val="2"/>
        </w:numPr>
        <w:kinsoku/>
        <w:wordWrap/>
        <w:overflowPunct/>
        <w:topLinePunct w:val="0"/>
        <w:autoSpaceDE/>
        <w:autoSpaceDN/>
        <w:bidi w:val="0"/>
        <w:adjustRightInd/>
        <w:snapToGrid/>
        <w:spacing w:line="312" w:lineRule="auto"/>
        <w:ind w:firstLineChars="0"/>
        <w:textAlignment w:val="auto"/>
        <w:rPr>
          <w:rFonts w:ascii="宋体" w:hAnsi="宋体" w:eastAsia="宋体"/>
          <w:b/>
          <w:sz w:val="28"/>
          <w:szCs w:val="28"/>
        </w:rPr>
      </w:pPr>
      <w:r>
        <w:rPr>
          <w:rFonts w:hint="eastAsia" w:ascii="宋体" w:hAnsi="宋体" w:eastAsia="宋体"/>
          <w:b/>
          <w:sz w:val="28"/>
          <w:szCs w:val="28"/>
        </w:rPr>
        <w:t>项目背景</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eastAsia="宋体"/>
          <w:sz w:val="24"/>
          <w:szCs w:val="24"/>
        </w:rPr>
      </w:pPr>
      <w:r>
        <w:rPr>
          <w:rFonts w:hint="eastAsia" w:ascii="宋体" w:hAnsi="宋体" w:eastAsia="宋体" w:cs="Times New Roman"/>
          <w:kern w:val="2"/>
          <w:sz w:val="24"/>
          <w:szCs w:val="24"/>
          <w:lang w:val="en-US" w:eastAsia="zh-CN" w:bidi="ar"/>
        </w:rPr>
        <w:t>病理科诊断医师人员增加，且每年都有新进的规培医师，原有的报告工作站数量不足，无法满足临床诊断及教学的需求，现需申购4个病理管理系统工作站，可以方便每个医生各自完成日常病例管理、采集典型镜下图像、书写病理诊断结果、病例查询统计以及报告查看、修改与审核以及完善科室复片流程等工作</w:t>
      </w:r>
      <w:r>
        <w:rPr>
          <w:rFonts w:hint="eastAsia" w:ascii="宋体" w:hAnsi="宋体" w:eastAsia="宋体"/>
          <w:sz w:val="24"/>
          <w:szCs w:val="24"/>
        </w:rPr>
        <w:t>。</w:t>
      </w:r>
    </w:p>
    <w:p>
      <w:pPr>
        <w:pageBreakBefore w:val="0"/>
        <w:widowControl w:val="0"/>
        <w:kinsoku/>
        <w:wordWrap/>
        <w:overflowPunct/>
        <w:topLinePunct w:val="0"/>
        <w:autoSpaceDE/>
        <w:autoSpaceDN/>
        <w:bidi w:val="0"/>
        <w:adjustRightInd/>
        <w:snapToGrid/>
        <w:spacing w:line="312" w:lineRule="auto"/>
        <w:textAlignment w:val="auto"/>
        <w:rPr>
          <w:rFonts w:ascii="宋体" w:hAnsi="宋体" w:eastAsia="宋体"/>
          <w:sz w:val="24"/>
          <w:szCs w:val="24"/>
        </w:rPr>
      </w:pPr>
    </w:p>
    <w:p>
      <w:pPr>
        <w:pStyle w:val="11"/>
        <w:pageBreakBefore w:val="0"/>
        <w:widowControl w:val="0"/>
        <w:kinsoku/>
        <w:wordWrap/>
        <w:overflowPunct/>
        <w:topLinePunct w:val="0"/>
        <w:autoSpaceDE/>
        <w:autoSpaceDN/>
        <w:bidi w:val="0"/>
        <w:adjustRightInd/>
        <w:snapToGrid/>
        <w:spacing w:line="312" w:lineRule="auto"/>
        <w:ind w:firstLine="0" w:firstLineChars="0"/>
        <w:textAlignment w:val="auto"/>
        <w:rPr>
          <w:rFonts w:ascii="宋体" w:hAnsi="宋体" w:eastAsia="宋体"/>
          <w:sz w:val="24"/>
          <w:szCs w:val="24"/>
        </w:rPr>
      </w:pPr>
      <w:r>
        <w:rPr>
          <w:rFonts w:hint="eastAsia" w:ascii="宋体" w:hAnsi="宋体" w:eastAsia="宋体"/>
          <w:b/>
          <w:sz w:val="28"/>
          <w:szCs w:val="28"/>
        </w:rPr>
        <w:t>二、项目建设内容及要求</w:t>
      </w:r>
    </w:p>
    <w:tbl>
      <w:tblPr>
        <w:tblStyle w:val="9"/>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875"/>
        <w:gridCol w:w="438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default" w:ascii="宋体" w:hAnsi="宋体" w:eastAsia="宋体"/>
              </w:rPr>
            </w:pPr>
            <w:r>
              <w:rPr>
                <w:rFonts w:hint="eastAsia" w:ascii="宋体" w:hAnsi="宋体" w:eastAsia="宋体"/>
              </w:rPr>
              <w:t>序号</w:t>
            </w:r>
          </w:p>
        </w:tc>
        <w:tc>
          <w:tcPr>
            <w:tcW w:w="187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产品名称</w:t>
            </w:r>
          </w:p>
        </w:tc>
        <w:tc>
          <w:tcPr>
            <w:tcW w:w="438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eastAsia="zh-CN"/>
              </w:rPr>
            </w:pPr>
            <w:r>
              <w:rPr>
                <w:rFonts w:hint="eastAsia" w:ascii="宋体" w:hAnsi="宋体" w:eastAsia="宋体"/>
                <w:lang w:val="en-US" w:eastAsia="zh-CN"/>
              </w:rPr>
              <w:t>详细参数</w:t>
            </w:r>
          </w:p>
        </w:tc>
        <w:tc>
          <w:tcPr>
            <w:tcW w:w="15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eastAsia="zh-CN"/>
              </w:rPr>
            </w:pPr>
            <w:r>
              <w:rPr>
                <w:rFonts w:hint="eastAsia" w:ascii="宋体" w:hAnsi="宋体" w:eastAsia="宋体"/>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1</w:t>
            </w:r>
          </w:p>
        </w:tc>
        <w:tc>
          <w:tcPr>
            <w:tcW w:w="187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综合报告工作软件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宋体" w:hAnsi="宋体" w:eastAsia="宋体"/>
              </w:rPr>
            </w:pPr>
            <w:r>
              <w:rPr>
                <w:rFonts w:hint="eastAsia"/>
                <w:sz w:val="21"/>
                <w:szCs w:val="21"/>
              </w:rPr>
              <w:t>可查看病例的基本信息、临床诊断信息、大体标本的照片和描述、取材的明细记录等内容。录入镜下所见、病理诊断、免疫组化结果、液基细胞学等诊断报告项目。报告常用词、报告格式自定义功能。</w:t>
            </w:r>
          </w:p>
        </w:tc>
        <w:tc>
          <w:tcPr>
            <w:tcW w:w="150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sz w:val="21"/>
                <w:szCs w:val="21"/>
              </w:rPr>
              <w:t>使用带标准TWAIN32接口的数码摄像头，可实时浏览、采集和保存镜下图像。</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sz w:val="21"/>
                <w:szCs w:val="21"/>
              </w:rPr>
              <w:t xml:space="preserve">★ </w:t>
            </w:r>
            <w:r>
              <w:rPr>
                <w:rFonts w:hint="eastAsia" w:ascii="宋体" w:hAnsi="宋体"/>
                <w:bCs/>
                <w:sz w:val="21"/>
                <w:szCs w:val="21"/>
              </w:rPr>
              <w:t>根据登录用户身份，自动提示“我的未审核报告”“我的未打印报告”“我的未写报告”“我的延期报告”“我的申请复片”“我的待复片”“我的外借返回病例”“我的收藏夹”“科内会诊”“需随访病例”等列表。</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sz w:val="21"/>
                <w:szCs w:val="21"/>
              </w:rPr>
              <w:t xml:space="preserve">★ </w:t>
            </w:r>
            <w:r>
              <w:rPr>
                <w:rFonts w:hint="eastAsia" w:ascii="宋体" w:hAnsi="宋体"/>
                <w:bCs/>
                <w:sz w:val="21"/>
                <w:szCs w:val="21"/>
              </w:rPr>
              <w:t>自动提示该病例的历史病理结果和同次送检的其他标本检查情况。除“同名检索”功能外，还能进一步进行住院号、病人编号或身份证号的匹配，以准确锁定该病人的检查记录。</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sz w:val="21"/>
                <w:szCs w:val="21"/>
              </w:rPr>
              <w:t>在查看病人的历史检查时可浏览对应病理号的镜下图像及取材明细。</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同一病理号（或冰冻号）不限次数的独立冰冻报告，每一份冰冻报告单独记录收到时间、取材医生、取材块数、制片人、报告医生、审核医生、报告时间等项目，每一份冰冻报告可单独进行审核并提供给临床进行查看。</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针对同一病理号（或冰冻号）多次的独立冰冻报告，在发放冰冻报告时系统需保证同一病理号前面的冰冻报告已发放。</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冰冻超时报告可提示医生进行“迟发原因”的输入，可自定义迟发原因并进行下拉框选择。</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可按时间段统计术中冰冻的送检例数、送检次数及取材块数。</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提供“冰冻-石蜡”诊断对照功能。可进行冰冻诊断符合率的统计。</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可进行冰冻制片时间的统计，还可进行冰冻制片及时率的统计。</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可进行冰冻报告发放时间的统计，并显示冰冻超时报告的迟发原因。</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w:t>
            </w:r>
            <w:r>
              <w:rPr>
                <w:rFonts w:hint="default"/>
                <w:color w:val="000000"/>
                <w:sz w:val="21"/>
                <w:szCs w:val="21"/>
              </w:rPr>
              <w:t>可进行术中快速病理诊断及时率的统计（包括多台同时送检且时间在45分钟之内的情况的特殊处理）</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可查看取材明细列表，在列表中可进行淋巴结转移情况标记，并将标记说明一键快速导入到病理诊断中。</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可将标本名称和冰冻诊断提取到病理诊断中。</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适应病理报告三级医生负责制，提供定向复片、多级复片功能，初诊意见和复片意见单独保存备查。上级医生可对初诊意见进行结果评价，可以统计复片数和复片准确率。</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★针对七类小标本和二十类大标本肿瘤疾病，提供国际先进的“结构化报告”标准报告模版。</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采用包括TBS2004在内的多种分级报告系统，用户点选选项即可快速输出液基细胞学报告。</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w:t>
            </w:r>
            <w:r>
              <w:rPr>
                <w:rFonts w:hint="eastAsia"/>
                <w:color w:val="000000"/>
                <w:kern w:val="0"/>
                <w:sz w:val="21"/>
                <w:szCs w:val="21"/>
              </w:rPr>
              <w:t>报告打印时能设置病例库对“阴阳性”“临床符合”“冰冻符合”进行检查，如果无内容不能打印。</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病理诊断结果与性别冲突监控提示功能：如男性病例出现“宫颈、卵巢等”描述、女性病例出现“阴茎、睾丸等”描述时，系统自动进行弹框提醒。</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★镜下所见及</w:t>
            </w:r>
            <w:r>
              <w:rPr>
                <w:rFonts w:hint="eastAsia" w:ascii="宋体" w:hAnsi="宋体"/>
                <w:bCs/>
                <w:color w:val="000000"/>
                <w:sz w:val="21"/>
                <w:szCs w:val="21"/>
              </w:rPr>
              <w:t>病理诊断结果与标本名称左右部位冲突监控提示功能：如标本名称为“左乳腺”，病理诊断中出现“右”，系统将自行弹框提醒。</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病理诊断结果智能匹配提示功能：用户可自定义特殊词汇和相应提示内容，在病理诊断中出现这些词汇时，系统自动进行弹框提示。</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病理诊断结果智能</w:t>
            </w:r>
            <w:r>
              <w:rPr>
                <w:rFonts w:hint="default"/>
                <w:color w:val="000000"/>
                <w:sz w:val="21"/>
                <w:szCs w:val="21"/>
              </w:rPr>
              <w:t>预警功能：如病理诊断出现</w:t>
            </w:r>
            <w:r>
              <w:rPr>
                <w:rFonts w:hint="eastAsia"/>
                <w:color w:val="000000"/>
                <w:sz w:val="21"/>
                <w:szCs w:val="21"/>
              </w:rPr>
              <w:t>“癌” “瘤”“阳性”，则字体</w:t>
            </w:r>
            <w:r>
              <w:rPr>
                <w:rFonts w:hint="default"/>
                <w:color w:val="000000"/>
                <w:sz w:val="21"/>
                <w:szCs w:val="21"/>
              </w:rPr>
              <w:t>将变红提醒。</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在查看取材明细时，碰到任务来源是“冰冻”时，系统自动变为红色进行提示。</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可进行报告质量的评价。</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可发出内部医嘱要求，包括重切、深切、补取、免疫组化等，发出的内部医嘱在相应的工作站点上有相应提示，可查看内部医嘱相应的执行情况（医嘱状态）和结果。</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color w:val="000000"/>
                <w:sz w:val="21"/>
                <w:szCs w:val="21"/>
              </w:rPr>
              <w:t>医生开技术医嘱时，可批量选择蜡块号，来进行批量重切或深切。</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提供免疫组化预开单及开单审核管理功能。</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医生开免疫组化医嘱时，系统会自动匹配本科室已开展的标记物项目，</w:t>
            </w:r>
            <w:r>
              <w:rPr>
                <w:rFonts w:hint="eastAsia" w:ascii="宋体" w:hAnsi="宋体"/>
                <w:color w:val="000000"/>
                <w:sz w:val="21"/>
                <w:szCs w:val="21"/>
              </w:rPr>
              <w:t>如果无此标记物项目，则系统弹出相关提示并阻止开单。</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医生开特检医嘱时，系统需显示历史特检医嘱开单信息。</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kern w:val="0"/>
                <w:sz w:val="21"/>
                <w:szCs w:val="21"/>
              </w:rPr>
              <w:t>提供单独的特检医嘱查询列表，可按照医嘱类型、医嘱状态及申请医生来查找已开免疫组化医嘱的病例，从医嘱查询页双击病理号列或特检号列就能打开这一病例。</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可将免疫组化结果快速导入到“特殊检查”“病理诊断”或“补充报告结果”中，导入时可自定义标记物排序。</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提供同一病理号（或免疫号）不限次数的独立免疫组化补充报告，每一份免疫组化补充报告单独记录报告医生、审核医生、报告时间等项目，每一份免疫组化补充报告可单独进行审核并提供给临床进行查看。</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通过病例状态颜色来标记当前病例在病理科所处的流程状态，如“已登记”“已取材”“已包埋”“已制片”“已写报告”“已审核”等。</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提供报告应发时间管理，用户可自定义不同标本类型对应的报告应发时间，并能自定义接收标本时间分隔点。系统采用特殊颜色来标记“最后一天”“报告超期”“报告延期”等报告发放时间状态。</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开免疫组化等内部医嘱时可指定系统进行报告发放时间到期提醒，同时可打印“缓发报告通知单”。</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内部医嘱状态可自动关联到“缓发报告原因”，并提供给临床进行查看。</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提供常规免疫组化和鉴别诊断类免疫组化自动关联“缓发报告原因”的差异化处理。</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提供病理报告审核后的“犹豫期”自定义设定，并可自定义设定临床查看审核后的病理报告的“缓冲期”。</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可发出科内会诊申请，系统会自动加入“科内会诊”列表并进行提示，其他医生登录系统后可以快速定位这些会诊病例，可增加、修改、删除自己的科内会诊意见。</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可对病例进行随访标记，系统会自动加入“需随访病例”列表并进行提示，可录入并保存随访结果，并可继续随访或结束随访。</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可对感兴趣的病例进行自定义收藏分类管理，系统会自动加入到“我的收藏夹”列表并进行提示，医生可以导出自己的收藏夹病例列表。</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可根据多个条件来组合查询或统计病例、可进行模糊查询或精确查询。可提供“拼音码”来查询姓名。查询或统计出的结果可以导出为EXCEL文件，用户可自定义导出项目字段。可控制每个医生病理报告的查询天数。</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提供按照“部位”“病名”关键词区分的疾病索引管理，并进行精确的疾病种类统计。</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提供多种病理科工作量统计报表，包括医生工作量、技师工作量、科室工作量、技术医嘱工作量、特检医嘱工作量、临床送检工作量、外院送检工作量等。</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提供多种符合率统计报表，包括冰冻诊断符合率、临床诊断符合率、会诊符合率等。</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提供多种报告时间统计报表，包括冰冻报告发放时间统计、报告发放及时率的统计、未发报告统计、超期报告统计、报告实际发放天数统计、报告实际发放天数汇总。</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提供同一病人的“小标本—大标本”或“细胞学—常规”诊断对照功能，并能导出为EXCEL文件。</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提供报告格式自动扩页功能，以适应内容较多的病理报告或尸检病理报告。</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提供用户分级权限体系，适应病理科不同级别的医生相互之间的报告修改、审核的权限嵌套关系。</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color w:val="000000"/>
                <w:sz w:val="21"/>
                <w:szCs w:val="21"/>
              </w:rPr>
              <w:t xml:space="preserve">★ </w:t>
            </w:r>
            <w:r>
              <w:rPr>
                <w:rFonts w:hint="eastAsia" w:ascii="宋体" w:hAnsi="宋体"/>
                <w:bCs/>
                <w:color w:val="000000"/>
                <w:sz w:val="21"/>
                <w:szCs w:val="21"/>
              </w:rPr>
              <w:t>提供每日病理报告签收单管理，通过扫描病理报告单上的条码，自动按照“病区”或“送检科室”排序整理报告签收单进行打印，用于临床接收病理报告后签字返回病理科进行存档。</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c>
          <w:tcPr>
            <w:tcW w:w="187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p>
        </w:tc>
        <w:tc>
          <w:tcPr>
            <w:tcW w:w="4380" w:type="dxa"/>
            <w:vAlign w:val="center"/>
          </w:tcPr>
          <w:p>
            <w:pPr>
              <w:keepNext w:val="0"/>
              <w:keepLines w:val="0"/>
              <w:suppressLineNumbers w:val="0"/>
              <w:spacing w:before="0" w:beforeAutospacing="0" w:after="0" w:afterAutospacing="0" w:line="240" w:lineRule="auto"/>
              <w:ind w:left="0" w:right="0"/>
              <w:rPr>
                <w:rFonts w:hint="default" w:ascii="Times New Roman" w:hAnsi="Times New Roman" w:eastAsia="宋体" w:cs="Times New Roman"/>
                <w:sz w:val="21"/>
                <w:szCs w:val="24"/>
                <w:lang w:val="en-US" w:eastAsia="zh-CN" w:bidi="ar"/>
              </w:rPr>
            </w:pPr>
            <w:r>
              <w:rPr>
                <w:rFonts w:hint="eastAsia" w:ascii="宋体" w:hAnsi="宋体"/>
                <w:bCs/>
                <w:color w:val="000000"/>
                <w:sz w:val="21"/>
                <w:szCs w:val="21"/>
              </w:rPr>
              <w:t>重要报告痕迹后台记录和溯源查询功能。</w:t>
            </w:r>
          </w:p>
        </w:tc>
        <w:tc>
          <w:tcPr>
            <w:tcW w:w="150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2</w:t>
            </w:r>
          </w:p>
        </w:tc>
        <w:tc>
          <w:tcPr>
            <w:tcW w:w="187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sz w:val="21"/>
                <w:szCs w:val="24"/>
                <w:lang w:val="zh-TW" w:eastAsia="zh-TW" w:bidi="ar"/>
              </w:rPr>
            </w:pPr>
            <w:r>
              <w:rPr>
                <w:rFonts w:hint="eastAsia"/>
                <w:sz w:val="21"/>
                <w:szCs w:val="21"/>
              </w:rPr>
              <w:t>数码摄像头</w:t>
            </w:r>
          </w:p>
        </w:tc>
        <w:tc>
          <w:tcPr>
            <w:tcW w:w="4380" w:type="dxa"/>
            <w:vAlign w:val="center"/>
          </w:tcPr>
          <w:p>
            <w:pPr>
              <w:keepNext w:val="0"/>
              <w:keepLines w:val="0"/>
              <w:suppressLineNumbers w:val="0"/>
              <w:spacing w:before="0" w:beforeAutospacing="0" w:after="0" w:afterAutospacing="0" w:line="240" w:lineRule="auto"/>
              <w:ind w:left="0" w:right="0"/>
              <w:rPr>
                <w:rFonts w:hint="eastAsia" w:ascii="宋体" w:hAnsi="宋体"/>
                <w:bCs/>
                <w:color w:val="000000"/>
                <w:sz w:val="21"/>
                <w:szCs w:val="21"/>
              </w:rPr>
            </w:pPr>
            <w:r>
              <w:rPr>
                <w:rFonts w:hint="eastAsia" w:ascii="宋体" w:hAnsi="宋体"/>
                <w:bCs/>
                <w:color w:val="000000"/>
                <w:sz w:val="21"/>
                <w:szCs w:val="21"/>
              </w:rPr>
              <w:t>300万像素数码摄像头，扫描模式：逐行扫描；光传感器： 1/1.8”CCD（彩色）；像素量级：300万物理像素；像素大小：3.45μm*3.45μm；帧速率：35-65FPS；信噪比：70dB。</w:t>
            </w:r>
          </w:p>
        </w:tc>
        <w:tc>
          <w:tcPr>
            <w:tcW w:w="15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3</w:t>
            </w:r>
          </w:p>
        </w:tc>
        <w:tc>
          <w:tcPr>
            <w:tcW w:w="187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sz w:val="21"/>
                <w:szCs w:val="21"/>
              </w:rPr>
            </w:pPr>
            <w:r>
              <w:rPr>
                <w:rFonts w:hint="eastAsia"/>
                <w:sz w:val="21"/>
                <w:szCs w:val="21"/>
              </w:rPr>
              <w:t>摄像接口</w:t>
            </w:r>
          </w:p>
        </w:tc>
        <w:tc>
          <w:tcPr>
            <w:tcW w:w="4380" w:type="dxa"/>
            <w:vAlign w:val="center"/>
          </w:tcPr>
          <w:p>
            <w:pPr>
              <w:keepNext w:val="0"/>
              <w:keepLines w:val="0"/>
              <w:suppressLineNumbers w:val="0"/>
              <w:spacing w:before="0" w:beforeAutospacing="0" w:after="0" w:afterAutospacing="0" w:line="240" w:lineRule="auto"/>
              <w:ind w:left="0" w:right="0"/>
              <w:rPr>
                <w:rFonts w:hint="eastAsia" w:ascii="宋体" w:hAnsi="宋体"/>
                <w:bCs/>
                <w:color w:val="000000"/>
                <w:sz w:val="21"/>
                <w:szCs w:val="21"/>
              </w:rPr>
            </w:pPr>
            <w:r>
              <w:rPr>
                <w:rFonts w:hint="eastAsia"/>
                <w:sz w:val="21"/>
                <w:szCs w:val="21"/>
              </w:rPr>
              <w:t>1倍C型通用显微接口，从镜头安装基准面到焦点的距离是17.526mm，用于摄像头和三目显微镜的连接</w:t>
            </w:r>
            <w:r>
              <w:rPr>
                <w:rFonts w:hint="eastAsia"/>
                <w:sz w:val="21"/>
                <w:szCs w:val="21"/>
                <w:lang w:eastAsia="zh-CN"/>
              </w:rPr>
              <w:t>。</w:t>
            </w:r>
          </w:p>
        </w:tc>
        <w:tc>
          <w:tcPr>
            <w:tcW w:w="15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lang w:val="en-US" w:eastAsia="zh-CN"/>
              </w:rPr>
            </w:pPr>
            <w:r>
              <w:rPr>
                <w:rFonts w:hint="eastAsia" w:ascii="宋体" w:hAnsi="宋体" w:eastAsia="宋体"/>
                <w:lang w:val="en-US" w:eastAsia="zh-CN"/>
              </w:rPr>
              <w:t>4</w:t>
            </w:r>
          </w:p>
        </w:tc>
      </w:tr>
    </w:tbl>
    <w:p>
      <w:pPr>
        <w:pStyle w:val="2"/>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三、对接口及系统改造的要求</w:t>
      </w:r>
    </w:p>
    <w:p>
      <w:pPr>
        <w:pageBreakBefore w:val="0"/>
        <w:widowControl w:val="0"/>
        <w:kinsoku/>
        <w:wordWrap/>
        <w:overflowPunct/>
        <w:topLinePunct w:val="0"/>
        <w:autoSpaceDE/>
        <w:autoSpaceDN/>
        <w:bidi w:val="0"/>
        <w:adjustRightInd/>
        <w:snapToGrid/>
        <w:spacing w:line="312" w:lineRule="auto"/>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eastAsia="zh-CN"/>
        </w:rPr>
        <w:t>质</w:t>
      </w:r>
      <w:r>
        <w:rPr>
          <w:rFonts w:hint="eastAsia" w:ascii="宋体" w:hAnsi="宋体" w:eastAsia="宋体" w:cs="宋体"/>
          <w:b/>
          <w:bCs/>
          <w:color w:val="auto"/>
          <w:sz w:val="24"/>
          <w:szCs w:val="24"/>
        </w:rPr>
        <w:t>保期和</w:t>
      </w:r>
      <w:r>
        <w:rPr>
          <w:rFonts w:hint="eastAsia" w:ascii="宋体" w:hAnsi="宋体" w:eastAsia="宋体" w:cs="宋体"/>
          <w:b/>
          <w:bCs/>
          <w:color w:val="auto"/>
          <w:sz w:val="24"/>
          <w:szCs w:val="24"/>
          <w:lang w:eastAsia="zh-CN"/>
        </w:rPr>
        <w:t>维</w:t>
      </w:r>
      <w:r>
        <w:rPr>
          <w:rFonts w:hint="eastAsia" w:ascii="宋体" w:hAnsi="宋体" w:eastAsia="宋体" w:cs="宋体"/>
          <w:b/>
          <w:bCs/>
          <w:color w:val="auto"/>
          <w:sz w:val="24"/>
          <w:szCs w:val="24"/>
        </w:rPr>
        <w:t>保期内免费实现以下要求：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3.1提供全面的接口技术，与第三方系统共享数据和功能，这些接口技术包括中间件技术接口、WEBSEVICE通用接口、数据库级接口、文件文本接口等。</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3.2提供与医院第三方系统统一接口的维护与管理，与HIS、电子病历、LIS、PACS、心电系统、体检系统、集成平台、</w:t>
      </w:r>
      <w:r>
        <w:rPr>
          <w:rFonts w:hint="eastAsia" w:ascii="宋体" w:hAnsi="宋体" w:eastAsia="宋体" w:cs="宋体"/>
          <w:color w:val="auto"/>
          <w:sz w:val="24"/>
          <w:lang w:val="en-US" w:eastAsia="zh-CN"/>
        </w:rPr>
        <w:t>智慧运营平台、</w:t>
      </w:r>
      <w:r>
        <w:rPr>
          <w:rFonts w:hint="eastAsia" w:ascii="宋体" w:hAnsi="宋体" w:eastAsia="宋体" w:cs="宋体"/>
          <w:color w:val="auto"/>
          <w:sz w:val="24"/>
          <w:lang w:val="en-US"/>
        </w:rPr>
        <w:t>成本管理系统、排班系统、</w:t>
      </w:r>
      <w:r>
        <w:rPr>
          <w:rFonts w:hint="eastAsia" w:ascii="宋体" w:hAnsi="宋体" w:eastAsia="宋体" w:cs="宋体"/>
          <w:color w:val="auto"/>
          <w:sz w:val="24"/>
          <w:lang w:val="en-US" w:eastAsia="zh-CN"/>
        </w:rPr>
        <w:t>人力资源</w:t>
      </w:r>
      <w:r>
        <w:rPr>
          <w:rFonts w:hint="eastAsia" w:ascii="宋体" w:hAnsi="宋体" w:eastAsia="宋体" w:cs="宋体"/>
          <w:color w:val="auto"/>
          <w:sz w:val="24"/>
          <w:lang w:val="en-US"/>
        </w:rPr>
        <w:t>管理系统、财务管理系统、互联网医院、OA系统、自助服务平台、DRG管理、绩效管理、电子发票、短信平台、财务电子档案等其他所有医院相关业务系统（包括以上医院系统但不仅限于以上系统）进行免费接口对接，实现数据交换。</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3.3满足医院电子病历系统功能应用水平分级评价达到6级以上评审、医院信息互联互通标准化成熟度测评达到</w:t>
      </w:r>
      <w:r>
        <w:rPr>
          <w:rFonts w:hint="eastAsia" w:ascii="宋体" w:hAnsi="宋体" w:eastAsia="宋体" w:cs="宋体"/>
          <w:color w:val="auto"/>
          <w:sz w:val="24"/>
          <w:lang w:val="en-US" w:eastAsia="zh-CN"/>
        </w:rPr>
        <w:t>五</w:t>
      </w:r>
      <w:r>
        <w:rPr>
          <w:rFonts w:hint="eastAsia" w:ascii="宋体" w:hAnsi="宋体" w:eastAsia="宋体" w:cs="宋体"/>
          <w:color w:val="auto"/>
          <w:sz w:val="24"/>
          <w:lang w:val="en-US"/>
        </w:rPr>
        <w:t>级</w:t>
      </w:r>
      <w:r>
        <w:rPr>
          <w:rFonts w:hint="eastAsia" w:ascii="宋体" w:hAnsi="宋体" w:eastAsia="宋体" w:cs="宋体"/>
          <w:color w:val="auto"/>
          <w:sz w:val="24"/>
          <w:lang w:val="en-US" w:eastAsia="zh-CN"/>
        </w:rPr>
        <w:t>乙</w:t>
      </w:r>
      <w:r>
        <w:rPr>
          <w:rFonts w:hint="eastAsia" w:ascii="宋体" w:hAnsi="宋体" w:eastAsia="宋体" w:cs="宋体"/>
          <w:color w:val="auto"/>
          <w:sz w:val="24"/>
          <w:lang w:val="en-US"/>
        </w:rPr>
        <w:t>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3.4提供软件免费升级及个性化修改服务，免费实现院方的个性化需求；软件自身错误类问题提供永久性免费修改服务；</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3.5免费提供医院新增业务信息系统的对接、免费实现医院上级管理部门要求的系统接口对接要求。</w:t>
      </w: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四、项目实施要求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4.1驻场、实施工期要求：合同签订后，7个工作日内项目实施人员必须进场</w:t>
      </w:r>
      <w:r>
        <w:rPr>
          <w:rFonts w:hint="eastAsia" w:ascii="宋体" w:hAnsi="宋体" w:eastAsia="宋体" w:cs="宋体"/>
          <w:color w:val="auto"/>
          <w:sz w:val="24"/>
          <w:lang w:val="en-US" w:eastAsia="zh-CN"/>
        </w:rPr>
        <w:t>，系统需在</w:t>
      </w:r>
      <w:r>
        <w:rPr>
          <w:rFonts w:hint="eastAsia" w:ascii="宋体" w:hAnsi="宋体" w:eastAsia="宋体" w:cs="宋体"/>
          <w:color w:val="auto"/>
          <w:sz w:val="24"/>
          <w:highlight w:val="yellow"/>
          <w:lang w:val="en-US" w:eastAsia="zh-CN"/>
        </w:rPr>
        <w:t>1</w:t>
      </w:r>
      <w:r>
        <w:rPr>
          <w:rFonts w:hint="eastAsia" w:ascii="宋体" w:hAnsi="宋体" w:eastAsia="宋体" w:cs="宋体"/>
          <w:color w:val="auto"/>
          <w:sz w:val="24"/>
          <w:lang w:val="en-US"/>
        </w:rPr>
        <w:t>个月内完成项目实施上线</w:t>
      </w:r>
      <w:r>
        <w:rPr>
          <w:rFonts w:hint="eastAsia" w:ascii="宋体" w:hAnsi="宋体" w:eastAsia="宋体" w:cs="宋体"/>
          <w:color w:val="auto"/>
          <w:sz w:val="24"/>
          <w:lang w:val="en-US" w:eastAsia="zh-CN"/>
        </w:rPr>
        <w:t>，请分别列出每个系统实施的工作计划及周期</w:t>
      </w:r>
      <w:r>
        <w:rPr>
          <w:rFonts w:hint="eastAsia" w:ascii="宋体" w:hAnsi="宋体" w:eastAsia="宋体" w:cs="宋体"/>
          <w:color w:val="auto"/>
          <w:sz w:val="24"/>
          <w:lang w:val="en-US"/>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4.2</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人员要求：</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实施工程师：</w:t>
      </w:r>
      <w:r>
        <w:rPr>
          <w:rFonts w:hint="eastAsia" w:ascii="宋体" w:hAnsi="宋体" w:eastAsia="宋体" w:cs="宋体"/>
          <w:color w:val="auto"/>
          <w:sz w:val="24"/>
          <w:lang w:val="en-US"/>
        </w:rPr>
        <w:t>项目驻场实施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需有2年以上</w:t>
      </w:r>
      <w:r>
        <w:rPr>
          <w:rFonts w:hint="eastAsia" w:ascii="宋体" w:hAnsi="宋体" w:eastAsia="宋体" w:cs="宋体"/>
          <w:color w:val="auto"/>
          <w:sz w:val="24"/>
          <w:lang w:val="en-US" w:eastAsia="zh-CN"/>
        </w:rPr>
        <w:t>本厂商</w:t>
      </w:r>
      <w:r>
        <w:rPr>
          <w:rFonts w:hint="eastAsia" w:ascii="宋体" w:hAnsi="宋体" w:eastAsia="宋体" w:cs="宋体"/>
          <w:color w:val="auto"/>
          <w:sz w:val="24"/>
          <w:lang w:val="en-US"/>
        </w:rPr>
        <w:t>同等项目实施经验</w:t>
      </w:r>
      <w:r>
        <w:rPr>
          <w:rFonts w:hint="eastAsia" w:ascii="宋体" w:hAnsi="宋体" w:eastAsia="宋体" w:cs="宋体"/>
          <w:color w:val="auto"/>
          <w:sz w:val="24"/>
          <w:lang w:val="en-US" w:eastAsia="zh-CN"/>
        </w:rPr>
        <w:t>。</w:t>
      </w:r>
      <w:r>
        <w:rPr>
          <w:rFonts w:hint="eastAsia" w:ascii="宋体" w:hAnsi="宋体" w:eastAsia="宋体" w:cs="宋体"/>
          <w:color w:val="auto"/>
          <w:sz w:val="24"/>
          <w:lang w:val="en-US"/>
        </w:rPr>
        <w:t>项目实施</w:t>
      </w:r>
      <w:r>
        <w:rPr>
          <w:rFonts w:hint="eastAsia" w:ascii="宋体" w:hAnsi="宋体" w:eastAsia="宋体" w:cs="宋体"/>
          <w:color w:val="auto"/>
          <w:sz w:val="24"/>
          <w:lang w:val="en-US" w:eastAsia="zh-CN"/>
        </w:rPr>
        <w:t>阶段</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驻场</w:t>
      </w:r>
      <w:r>
        <w:rPr>
          <w:rFonts w:hint="eastAsia" w:ascii="宋体" w:hAnsi="宋体" w:eastAsia="宋体" w:cs="宋体"/>
          <w:color w:val="auto"/>
          <w:sz w:val="24"/>
          <w:lang w:val="en-US"/>
        </w:rPr>
        <w:t>实施</w:t>
      </w:r>
      <w:r>
        <w:rPr>
          <w:rFonts w:hint="eastAsia" w:ascii="宋体" w:hAnsi="宋体" w:eastAsia="宋体" w:cs="宋体"/>
          <w:color w:val="auto"/>
          <w:sz w:val="24"/>
          <w:lang w:val="en-US" w:eastAsia="zh-CN"/>
        </w:rPr>
        <w:t>工程师</w:t>
      </w:r>
      <w:r>
        <w:rPr>
          <w:rFonts w:hint="eastAsia" w:ascii="宋体" w:hAnsi="宋体" w:eastAsia="宋体" w:cs="宋体"/>
          <w:color w:val="auto"/>
          <w:sz w:val="24"/>
          <w:lang w:val="en-US"/>
        </w:rPr>
        <w:t>不得少于</w:t>
      </w:r>
      <w:r>
        <w:rPr>
          <w:rFonts w:hint="eastAsia" w:ascii="宋体" w:hAnsi="宋体" w:eastAsia="宋体" w:cs="宋体"/>
          <w:color w:val="auto"/>
          <w:sz w:val="24"/>
          <w:highlight w:val="yellow"/>
          <w:lang w:val="en-US" w:eastAsia="zh-CN"/>
        </w:rPr>
        <w:t>1</w:t>
      </w:r>
      <w:r>
        <w:rPr>
          <w:rFonts w:hint="eastAsia" w:ascii="宋体" w:hAnsi="宋体" w:eastAsia="宋体" w:cs="宋体"/>
          <w:color w:val="auto"/>
          <w:sz w:val="24"/>
          <w:lang w:val="en-US"/>
        </w:rPr>
        <w:t>名</w:t>
      </w:r>
      <w:r>
        <w:rPr>
          <w:rFonts w:hint="eastAsia" w:ascii="宋体" w:hAnsi="宋体" w:eastAsia="宋体" w:cs="宋体"/>
          <w:color w:val="auto"/>
          <w:sz w:val="24"/>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如需更换</w:t>
      </w:r>
      <w:r>
        <w:rPr>
          <w:rFonts w:hint="eastAsia" w:ascii="宋体" w:hAnsi="宋体" w:eastAsia="宋体" w:cs="宋体"/>
          <w:color w:val="auto"/>
          <w:sz w:val="24"/>
          <w:lang w:val="en-US" w:eastAsia="zh-CN"/>
        </w:rPr>
        <w:t>开发工程师、实施工程师</w:t>
      </w:r>
      <w:r>
        <w:rPr>
          <w:rFonts w:hint="eastAsia" w:ascii="宋体" w:hAnsi="宋体" w:eastAsia="宋体" w:cs="宋体"/>
          <w:color w:val="auto"/>
          <w:sz w:val="24"/>
          <w:lang w:val="en-US"/>
        </w:rPr>
        <w:t>，</w:t>
      </w:r>
      <w:r>
        <w:rPr>
          <w:rFonts w:hint="eastAsia" w:ascii="宋体" w:hAnsi="宋体" w:eastAsia="宋体" w:cs="宋体"/>
          <w:color w:val="auto"/>
          <w:sz w:val="24"/>
          <w:lang w:val="en-US" w:eastAsia="zh-CN"/>
        </w:rPr>
        <w:t>厂商</w:t>
      </w:r>
      <w:r>
        <w:rPr>
          <w:rFonts w:hint="eastAsia" w:ascii="宋体" w:hAnsi="宋体" w:eastAsia="宋体" w:cs="宋体"/>
          <w:color w:val="auto"/>
          <w:sz w:val="24"/>
          <w:lang w:val="en-US"/>
        </w:rPr>
        <w:t>需提交书面申请，经院方同意才可更换。</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竞标文件中需提供软件提供商项目驻场人员清单（含项目开发和项目实施人员），清单中标明驻场人员详细信息，如姓名、联系方式、技术职称、社保证明（不少于半年）等。</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因厂商与院方存在对需求理解有差异的可能性，要求所有软件功能需求的响应以院方意见为准</w:t>
      </w:r>
      <w:r>
        <w:rPr>
          <w:rFonts w:hint="eastAsia" w:ascii="宋体" w:hAnsi="宋体" w:eastAsia="宋体" w:cs="宋体"/>
          <w:color w:val="auto"/>
          <w:sz w:val="24"/>
          <w:szCs w:val="24"/>
          <w:lang w:eastAsia="zh-CN"/>
        </w:rPr>
        <w:t>。</w:t>
      </w:r>
    </w:p>
    <w:p>
      <w:pPr>
        <w:pStyle w:val="2"/>
        <w:pageBreakBefore w:val="0"/>
        <w:widowControl w:val="0"/>
        <w:kinsoku/>
        <w:wordWrap/>
        <w:overflowPunct/>
        <w:topLinePunct w:val="0"/>
        <w:autoSpaceDE/>
        <w:autoSpaceDN/>
        <w:bidi w:val="0"/>
        <w:adjustRightInd/>
        <w:snapToGrid/>
        <w:spacing w:after="0" w:line="312" w:lineRule="auto"/>
        <w:textAlignment w:val="auto"/>
        <w:rPr>
          <w:lang w:val="en-US"/>
        </w:rPr>
      </w:pP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sz w:val="32"/>
          <w:szCs w:val="32"/>
        </w:rPr>
      </w:pPr>
      <w:r>
        <w:rPr>
          <w:rFonts w:hint="eastAsia" w:ascii="宋体" w:hAnsi="宋体"/>
          <w:bCs w:val="0"/>
          <w:sz w:val="32"/>
          <w:szCs w:val="32"/>
        </w:rPr>
        <w:t>五、</w:t>
      </w:r>
      <w:r>
        <w:rPr>
          <w:rFonts w:hint="eastAsia" w:ascii="宋体" w:hAnsi="宋体"/>
          <w:bCs w:val="0"/>
          <w:sz w:val="32"/>
          <w:szCs w:val="32"/>
          <w:lang w:eastAsia="zh-CN"/>
        </w:rPr>
        <w:t>售后</w:t>
      </w:r>
      <w:r>
        <w:rPr>
          <w:rFonts w:hint="eastAsia" w:ascii="宋体" w:hAnsi="宋体"/>
          <w:bCs w:val="0"/>
          <w:sz w:val="32"/>
          <w:szCs w:val="32"/>
        </w:rPr>
        <w:t>服务及其他要求</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5.1自本项目整体最终验收之日起，所有产品要求提供</w:t>
      </w:r>
      <w:r>
        <w:rPr>
          <w:rFonts w:hint="eastAsia" w:ascii="宋体" w:hAnsi="宋体" w:cs="宋体"/>
          <w:color w:val="FF0000"/>
          <w:sz w:val="24"/>
          <w:szCs w:val="24"/>
        </w:rPr>
        <w:t>三年</w:t>
      </w:r>
      <w:r>
        <w:rPr>
          <w:rFonts w:hint="eastAsia" w:ascii="宋体" w:hAnsi="宋体" w:cs="宋体"/>
          <w:sz w:val="24"/>
          <w:szCs w:val="24"/>
        </w:rPr>
        <w:t>的免费</w:t>
      </w:r>
      <w:r>
        <w:rPr>
          <w:rFonts w:hint="eastAsia" w:ascii="宋体" w:hAnsi="宋体" w:cs="宋体"/>
          <w:sz w:val="24"/>
          <w:szCs w:val="24"/>
          <w:lang w:eastAsia="zh-CN"/>
        </w:rPr>
        <w:t>质</w:t>
      </w:r>
      <w:r>
        <w:rPr>
          <w:rFonts w:hint="eastAsia" w:ascii="宋体" w:hAnsi="宋体" w:cs="宋体"/>
          <w:sz w:val="24"/>
          <w:szCs w:val="24"/>
        </w:rPr>
        <w:t>保服务。含软硬件维护和系统软件升级、技术支持服务、系统管理及操作培训，免费提供系统个性化修改需求。请详细说明售后服务的内容。</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5.2安装调试要求：免费送货上门、安装调试、提供完善的设备及软件系统使用中文操作手册、图纸、网络详细拓扑图、系统配置、功能配置、设备配置及互联记录；</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sz w:val="24"/>
          <w:szCs w:val="24"/>
        </w:rPr>
      </w:pPr>
      <w:r>
        <w:rPr>
          <w:rFonts w:hint="eastAsia" w:ascii="宋体" w:hAnsi="宋体" w:cs="宋体"/>
          <w:sz w:val="24"/>
          <w:szCs w:val="24"/>
        </w:rPr>
        <w:t>5.3原厂技术人员免费提供</w:t>
      </w:r>
      <w:r>
        <w:rPr>
          <w:rFonts w:hint="eastAsia" w:ascii="宋体" w:hAnsi="宋体" w:cs="宋体"/>
          <w:sz w:val="24"/>
          <w:szCs w:val="24"/>
          <w:lang w:eastAsia="zh-CN"/>
        </w:rPr>
        <w:t>售后</w:t>
      </w:r>
      <w:r>
        <w:rPr>
          <w:rFonts w:hint="eastAsia" w:ascii="宋体" w:hAnsi="宋体" w:cs="宋体"/>
          <w:sz w:val="24"/>
          <w:szCs w:val="24"/>
        </w:rPr>
        <w:t>服务，含电话支持、现场响应、远程操作、网上客服中心等多种方式服务，应做到7×24小时全天候电话或微信等常用联系方式响应。</w:t>
      </w:r>
      <w:bookmarkStart w:id="1" w:name="_Toc507405798"/>
      <w:r>
        <w:rPr>
          <w:rFonts w:hint="eastAsia" w:ascii="宋体" w:hAnsi="宋体" w:cs="宋体"/>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ascii="宋体" w:hAnsi="宋体" w:cs="宋体"/>
          <w:sz w:val="24"/>
          <w:szCs w:val="24"/>
        </w:rPr>
      </w:pPr>
      <w:r>
        <w:rPr>
          <w:rFonts w:hint="eastAsia" w:ascii="宋体" w:hAnsi="宋体" w:eastAsia="宋体" w:cs="微软雅黑"/>
          <w:sz w:val="24"/>
          <w:szCs w:val="24"/>
        </w:rPr>
        <w:t>5.4</w:t>
      </w:r>
      <w:r>
        <w:rPr>
          <w:rFonts w:hint="eastAsia" w:ascii="宋体" w:hAnsi="宋体" w:cs="宋体"/>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六、违约责任</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6.1投标方所提供的</w:t>
      </w:r>
      <w:r>
        <w:rPr>
          <w:rFonts w:hint="eastAsia" w:ascii="宋体" w:hAnsi="宋体" w:eastAsia="宋体" w:cs="宋体"/>
          <w:color w:val="FF0000"/>
          <w:sz w:val="24"/>
          <w:szCs w:val="24"/>
          <w:lang w:val="en-US" w:eastAsia="zh-CN"/>
        </w:rPr>
        <w:t>产品/软件</w:t>
      </w:r>
      <w:r>
        <w:rPr>
          <w:rFonts w:hint="eastAsia" w:ascii="宋体" w:hAnsi="宋体" w:eastAsia="宋体" w:cs="宋体"/>
          <w:color w:val="auto"/>
          <w:sz w:val="24"/>
          <w:szCs w:val="24"/>
        </w:rPr>
        <w:t>规格、技术标准、</w:t>
      </w:r>
      <w:r>
        <w:rPr>
          <w:rFonts w:hint="eastAsia" w:ascii="宋体" w:hAnsi="宋体" w:eastAsia="宋体" w:cs="宋体"/>
          <w:color w:val="FF0000"/>
          <w:sz w:val="24"/>
          <w:szCs w:val="24"/>
        </w:rPr>
        <w:t>材料</w:t>
      </w:r>
      <w:r>
        <w:rPr>
          <w:rFonts w:hint="eastAsia" w:ascii="宋体" w:hAnsi="宋体" w:eastAsia="宋体" w:cs="宋体"/>
          <w:color w:val="auto"/>
          <w:sz w:val="24"/>
          <w:szCs w:val="24"/>
        </w:rPr>
        <w:t>等质量不合格的，应及时更换，更换不及时的按逾期</w:t>
      </w:r>
      <w:r>
        <w:rPr>
          <w:rFonts w:hint="eastAsia" w:ascii="宋体" w:hAnsi="宋体" w:eastAsia="宋体" w:cs="宋体"/>
          <w:color w:val="FF0000"/>
          <w:sz w:val="24"/>
          <w:szCs w:val="24"/>
        </w:rPr>
        <w:t>交货</w:t>
      </w:r>
      <w:r>
        <w:rPr>
          <w:rFonts w:hint="eastAsia" w:ascii="宋体" w:hAnsi="宋体" w:eastAsia="宋体" w:cs="宋体"/>
          <w:color w:val="FF0000"/>
          <w:sz w:val="24"/>
          <w:szCs w:val="24"/>
          <w:lang w:val="en-US" w:eastAsia="zh-CN"/>
        </w:rPr>
        <w:t>/交付</w:t>
      </w:r>
      <w:r>
        <w:rPr>
          <w:rFonts w:hint="eastAsia" w:ascii="宋体" w:hAnsi="宋体" w:eastAsia="宋体" w:cs="宋体"/>
          <w:color w:val="auto"/>
          <w:sz w:val="24"/>
          <w:szCs w:val="24"/>
        </w:rPr>
        <w:t>处罚；因质量问题我院不同意接收，投标方应向我院支付违约货款额5%违约金并赔偿我院经济损失。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eastAsia="zh-CN"/>
        </w:rPr>
        <w:t>若</w:t>
      </w:r>
      <w:r>
        <w:rPr>
          <w:rFonts w:hint="eastAsia" w:ascii="宋体" w:hAnsi="宋体" w:eastAsia="宋体" w:cs="宋体"/>
          <w:color w:val="auto"/>
          <w:sz w:val="24"/>
          <w:szCs w:val="24"/>
        </w:rPr>
        <w:t>投标方提供的</w:t>
      </w:r>
      <w:r>
        <w:rPr>
          <w:rFonts w:hint="eastAsia" w:ascii="宋体" w:hAnsi="宋体" w:eastAsia="宋体" w:cs="宋体"/>
          <w:color w:val="auto"/>
          <w:sz w:val="24"/>
          <w:szCs w:val="24"/>
          <w:lang w:eastAsia="zh-CN"/>
        </w:rPr>
        <w:t>产品或软件</w:t>
      </w:r>
      <w:r>
        <w:rPr>
          <w:rFonts w:hint="eastAsia" w:ascii="宋体" w:hAnsi="宋体" w:eastAsia="宋体" w:cs="宋体"/>
          <w:color w:val="auto"/>
          <w:sz w:val="24"/>
          <w:szCs w:val="24"/>
        </w:rPr>
        <w:t>侵犯了第三方合法权益而引发的任何纠纷或诉讼，均由投标方负责交涉并承担全部责任。</w:t>
      </w:r>
    </w:p>
    <w:p>
      <w:pPr>
        <w:pageBreakBefore w:val="0"/>
        <w:widowControl w:val="0"/>
        <w:kinsoku/>
        <w:wordWrap/>
        <w:overflowPunct/>
        <w:topLinePunct w:val="0"/>
        <w:autoSpaceDE/>
        <w:autoSpaceDN/>
        <w:bidi w:val="0"/>
        <w:adjustRightInd/>
        <w:snapToGrid/>
        <w:spacing w:line="312" w:lineRule="auto"/>
        <w:ind w:firstLine="420"/>
        <w:jc w:val="left"/>
        <w:textAlignment w:val="auto"/>
        <w:rPr>
          <w:rFonts w:ascii="宋体" w:hAnsi="宋体" w:eastAsia="宋体" w:cs="宋体"/>
          <w:color w:val="FF0000"/>
          <w:sz w:val="24"/>
          <w:szCs w:val="24"/>
        </w:rPr>
      </w:pPr>
      <w:r>
        <w:rPr>
          <w:rFonts w:hint="eastAsia" w:ascii="宋体" w:hAnsi="宋体" w:eastAsia="宋体" w:cs="宋体"/>
          <w:color w:val="FF0000"/>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6.4</w:t>
      </w:r>
      <w:r>
        <w:rPr>
          <w:rFonts w:hint="eastAsia" w:ascii="宋体" w:hAnsi="宋体" w:eastAsia="宋体" w:cs="宋体"/>
          <w:color w:val="auto"/>
          <w:sz w:val="24"/>
        </w:rPr>
        <w:t> 投标方逾期</w:t>
      </w:r>
      <w:r>
        <w:rPr>
          <w:rFonts w:hint="eastAsia" w:ascii="宋体" w:hAnsi="宋体" w:eastAsia="宋体" w:cs="宋体"/>
          <w:color w:val="FF0000"/>
          <w:sz w:val="24"/>
        </w:rPr>
        <w:t>交货</w:t>
      </w:r>
      <w:r>
        <w:rPr>
          <w:rFonts w:hint="eastAsia" w:ascii="宋体" w:hAnsi="宋体" w:eastAsia="宋体" w:cs="宋体"/>
          <w:color w:val="FF0000"/>
          <w:sz w:val="24"/>
          <w:lang w:val="en-US" w:eastAsia="zh-CN"/>
        </w:rPr>
        <w:t>/交付</w:t>
      </w:r>
      <w:r>
        <w:rPr>
          <w:rFonts w:hint="eastAsia" w:ascii="宋体" w:hAnsi="宋体" w:eastAsia="宋体" w:cs="宋体"/>
          <w:color w:val="auto"/>
          <w:sz w:val="24"/>
        </w:rPr>
        <w:t>的，每天向</w:t>
      </w:r>
      <w:r>
        <w:rPr>
          <w:rFonts w:hint="eastAsia" w:ascii="宋体" w:hAnsi="宋体" w:eastAsia="宋体" w:cs="宋体"/>
          <w:color w:val="auto"/>
          <w:sz w:val="24"/>
          <w:lang w:eastAsia="zh-CN"/>
        </w:rPr>
        <w:t>甲方</w:t>
      </w:r>
      <w:r>
        <w:rPr>
          <w:rFonts w:hint="eastAsia" w:ascii="宋体" w:hAnsi="宋体" w:eastAsia="宋体" w:cs="宋体"/>
          <w:color w:val="auto"/>
          <w:sz w:val="24"/>
        </w:rPr>
        <w:t>偿付违约货款额3‰违约金，但违约金累计不得超过违约货款额 5% ，超过30天对方有权解除合同，违约方承担因此给对方造成的经济损失；</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rPr>
        <w:t>6.5售后服务违约</w:t>
      </w:r>
      <w:r>
        <w:rPr>
          <w:rFonts w:hint="eastAsia" w:ascii="宋体" w:hAnsi="宋体" w:eastAsia="宋体" w:cs="宋体"/>
          <w:color w:val="auto"/>
          <w:sz w:val="24"/>
          <w:lang w:val="en-US" w:eastAsia="zh-CN"/>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6.5.1每缺少1次现场巡检记录，投标方应向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支付违约金5000元；</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FF0000"/>
          <w:sz w:val="24"/>
          <w:lang w:val="en-US"/>
        </w:rPr>
      </w:pPr>
      <w:r>
        <w:rPr>
          <w:rFonts w:hint="eastAsia" w:ascii="宋体" w:hAnsi="宋体" w:eastAsia="宋体" w:cs="宋体"/>
          <w:color w:val="FF0000"/>
          <w:sz w:val="24"/>
          <w:lang w:val="en-US"/>
        </w:rPr>
        <w:t>6.5.2不能按本</w:t>
      </w:r>
      <w:r>
        <w:rPr>
          <w:rFonts w:hint="eastAsia" w:ascii="宋体" w:hAnsi="宋体" w:eastAsia="宋体" w:cs="宋体"/>
          <w:color w:val="FF0000"/>
          <w:sz w:val="24"/>
          <w:lang w:val="en-US" w:eastAsia="zh-CN"/>
        </w:rPr>
        <w:t>技术参数文档</w:t>
      </w:r>
      <w:r>
        <w:rPr>
          <w:rFonts w:hint="eastAsia" w:ascii="宋体" w:hAnsi="宋体" w:eastAsia="宋体" w:cs="宋体"/>
          <w:color w:val="FF0000"/>
          <w:sz w:val="24"/>
          <w:lang w:val="en-US"/>
        </w:rPr>
        <w:t>第5.3要求中按时提供设备备件的，故障上报24小时不能免费提供同档次或更高档次的备用设备解决问题，每超期一天，按500元/天</w:t>
      </w:r>
      <w:r>
        <w:rPr>
          <w:rFonts w:hint="eastAsia" w:ascii="宋体" w:hAnsi="宋体" w:eastAsia="宋体" w:cs="宋体"/>
          <w:color w:val="FF0000"/>
          <w:sz w:val="24"/>
          <w:lang w:val="en-US" w:eastAsia="zh-CN"/>
        </w:rPr>
        <w:t>向甲方</w:t>
      </w:r>
      <w:r>
        <w:rPr>
          <w:rFonts w:hint="eastAsia" w:ascii="宋体" w:hAnsi="宋体" w:eastAsia="宋体" w:cs="宋体"/>
          <w:color w:val="FF0000"/>
          <w:sz w:val="24"/>
          <w:lang w:val="en-US"/>
        </w:rPr>
        <w:t>支付违约金；</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6.5.3 投标方未按本技术要求和响应文件中规定的其他服务承诺提供售后服务的，每次投标方应按合同合计金额的5% 向</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支付违约金。</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rPr>
        <w:t>6.6合同签订后</w:t>
      </w:r>
      <w:r>
        <w:rPr>
          <w:rFonts w:hint="eastAsia" w:ascii="宋体" w:hAnsi="宋体" w:eastAsia="宋体" w:cs="宋体"/>
          <w:color w:val="FF0000"/>
          <w:sz w:val="24"/>
        </w:rPr>
        <w:t>7个工作日</w:t>
      </w:r>
      <w:r>
        <w:rPr>
          <w:rFonts w:hint="eastAsia" w:ascii="宋体" w:hAnsi="宋体" w:eastAsia="宋体" w:cs="宋体"/>
          <w:color w:val="auto"/>
          <w:sz w:val="24"/>
        </w:rPr>
        <w:t>内进场实施，每个模块计划实施周期需在合同内写明。因</w:t>
      </w:r>
      <w:r>
        <w:rPr>
          <w:rFonts w:hint="eastAsia" w:ascii="宋体" w:hAnsi="宋体" w:eastAsia="宋体" w:cs="宋体"/>
          <w:color w:val="auto"/>
          <w:sz w:val="24"/>
          <w:lang w:eastAsia="zh-CN"/>
        </w:rPr>
        <w:t>软件提供商</w:t>
      </w:r>
      <w:r>
        <w:rPr>
          <w:rFonts w:hint="eastAsia" w:ascii="宋体" w:hAnsi="宋体" w:eastAsia="宋体" w:cs="宋体"/>
          <w:color w:val="auto"/>
          <w:sz w:val="24"/>
        </w:rPr>
        <w:t>原因逾期不进场实施的，需按每天向院方支付合同款金额3‰作为违约金</w:t>
      </w:r>
      <w:r>
        <w:rPr>
          <w:rFonts w:hint="eastAsia" w:ascii="宋体" w:hAnsi="宋体" w:eastAsia="宋体" w:cs="宋体"/>
          <w:color w:val="auto"/>
          <w:sz w:val="24"/>
          <w:lang w:eastAsia="zh-CN"/>
        </w:rPr>
        <w:t>，</w:t>
      </w:r>
      <w:r>
        <w:rPr>
          <w:rFonts w:hint="eastAsia" w:ascii="宋体" w:hAnsi="宋体" w:eastAsia="宋体" w:cs="宋体"/>
          <w:color w:val="auto"/>
          <w:sz w:val="24"/>
        </w:rPr>
        <w:t>超过30天，</w:t>
      </w:r>
      <w:r>
        <w:rPr>
          <w:rFonts w:hint="eastAsia" w:ascii="宋体" w:hAnsi="宋体" w:eastAsia="宋体" w:cs="宋体"/>
          <w:color w:val="auto"/>
          <w:sz w:val="24"/>
          <w:lang w:eastAsia="zh-CN"/>
        </w:rPr>
        <w:t>甲</w:t>
      </w:r>
      <w:r>
        <w:rPr>
          <w:rFonts w:hint="eastAsia" w:ascii="宋体" w:hAnsi="宋体" w:eastAsia="宋体" w:cs="宋体"/>
          <w:color w:val="auto"/>
          <w:sz w:val="24"/>
        </w:rPr>
        <w:t>有权解除合同，</w:t>
      </w:r>
      <w:r>
        <w:rPr>
          <w:rFonts w:hint="eastAsia" w:ascii="宋体" w:hAnsi="宋体" w:eastAsia="宋体" w:cs="宋体"/>
          <w:color w:val="auto"/>
          <w:sz w:val="24"/>
          <w:lang w:eastAsia="zh-CN"/>
        </w:rPr>
        <w:t>乙方</w:t>
      </w:r>
      <w:r>
        <w:rPr>
          <w:rFonts w:hint="eastAsia" w:ascii="宋体" w:hAnsi="宋体" w:eastAsia="宋体" w:cs="宋体"/>
          <w:color w:val="auto"/>
          <w:sz w:val="24"/>
        </w:rPr>
        <w:t>需承担因此给院方造成的经济损失；</w:t>
      </w:r>
      <w:r>
        <w:rPr>
          <w:rFonts w:hint="eastAsia" w:ascii="宋体" w:hAnsi="宋体" w:eastAsia="宋体" w:cs="宋体"/>
          <w:color w:val="auto"/>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违约，</w:t>
      </w:r>
      <w:r>
        <w:rPr>
          <w:rFonts w:hint="eastAsia" w:ascii="宋体" w:hAnsi="宋体" w:eastAsia="宋体" w:cs="宋体"/>
          <w:color w:val="auto"/>
          <w:sz w:val="24"/>
          <w:lang w:val="en-US" w:eastAsia="zh-CN"/>
        </w:rPr>
        <w:t>甲方</w:t>
      </w:r>
      <w:r>
        <w:rPr>
          <w:rFonts w:hint="eastAsia" w:ascii="宋体" w:hAnsi="宋体" w:eastAsia="宋体" w:cs="宋体"/>
          <w:color w:val="auto"/>
          <w:sz w:val="24"/>
          <w:lang w:val="en-US"/>
        </w:rPr>
        <w:t>有权单方面解除合同，并要求</w:t>
      </w:r>
      <w:r>
        <w:rPr>
          <w:rFonts w:hint="eastAsia" w:ascii="宋体" w:hAnsi="宋体" w:eastAsia="宋体" w:cs="宋体"/>
          <w:color w:val="auto"/>
          <w:sz w:val="24"/>
          <w:lang w:val="en-US" w:eastAsia="zh-CN"/>
        </w:rPr>
        <w:t>乙方</w:t>
      </w:r>
      <w:r>
        <w:rPr>
          <w:rFonts w:hint="eastAsia" w:ascii="宋体" w:hAnsi="宋体" w:eastAsia="宋体" w:cs="宋体"/>
          <w:color w:val="auto"/>
          <w:sz w:val="24"/>
          <w:lang w:val="en-US"/>
        </w:rPr>
        <w:t>退回所有医院已支付款项，同时</w:t>
      </w:r>
      <w:r>
        <w:rPr>
          <w:rFonts w:hint="eastAsia" w:ascii="宋体" w:hAnsi="宋体" w:eastAsia="宋体" w:cs="宋体"/>
          <w:color w:val="auto"/>
          <w:sz w:val="24"/>
          <w:lang w:val="en-US" w:eastAsia="zh-CN"/>
        </w:rPr>
        <w:t>按</w:t>
      </w:r>
      <w:r>
        <w:rPr>
          <w:rFonts w:hint="eastAsia" w:ascii="宋体" w:hAnsi="宋体" w:eastAsia="宋体" w:cs="宋体"/>
          <w:color w:val="auto"/>
          <w:sz w:val="24"/>
          <w:lang w:val="en-US"/>
        </w:rPr>
        <w:t>合同总金额的20%做为违约金</w:t>
      </w:r>
      <w:r>
        <w:rPr>
          <w:rFonts w:hint="eastAsia" w:ascii="宋体" w:hAnsi="宋体" w:eastAsia="宋体" w:cs="宋体"/>
          <w:color w:val="auto"/>
          <w:sz w:val="24"/>
          <w:lang w:val="en-US" w:eastAsia="zh-CN"/>
        </w:rPr>
        <w:t>支付给甲方</w:t>
      </w:r>
      <w:r>
        <w:rPr>
          <w:rFonts w:hint="eastAsia" w:ascii="宋体" w:hAnsi="宋体" w:eastAsia="宋体" w:cs="宋体"/>
          <w:color w:val="auto"/>
          <w:sz w:val="24"/>
          <w:lang w:val="en-US"/>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4"/>
          <w:lang w:val="en-US"/>
        </w:rPr>
      </w:pPr>
      <w:r>
        <w:rPr>
          <w:rFonts w:hint="eastAsia" w:ascii="宋体" w:hAnsi="宋体" w:eastAsia="宋体" w:cs="宋体"/>
          <w:color w:val="auto"/>
          <w:sz w:val="24"/>
          <w:lang w:val="en-US"/>
        </w:rPr>
        <w:t>6.7任何一方违反本技术要求中“保密、廉洁条款”要求的，应承担相应的违约责任并赔偿由此造成的损失，损失累计金额超过合同款项的5%的，损失方同时有权终止合同并收回已付款项。</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rPr>
      </w:pPr>
      <w:r>
        <w:rPr>
          <w:rFonts w:hint="eastAsia" w:ascii="宋体" w:hAnsi="宋体" w:eastAsia="宋体" w:cs="宋体"/>
          <w:color w:val="auto"/>
          <w:sz w:val="24"/>
          <w:lang w:val="en-US"/>
        </w:rPr>
        <w:t>6.</w:t>
      </w:r>
      <w:r>
        <w:rPr>
          <w:rFonts w:hint="eastAsia" w:ascii="宋体" w:hAnsi="宋体" w:eastAsia="宋体" w:cs="宋体"/>
          <w:color w:val="auto"/>
          <w:sz w:val="24"/>
          <w:lang w:val="en-US" w:eastAsia="zh-CN"/>
        </w:rPr>
        <w:t>8厂商</w:t>
      </w:r>
      <w:r>
        <w:rPr>
          <w:rFonts w:hint="eastAsia" w:ascii="宋体" w:hAnsi="宋体" w:eastAsia="宋体" w:cs="宋体"/>
          <w:color w:val="auto"/>
          <w:sz w:val="24"/>
          <w:lang w:val="en-US"/>
        </w:rPr>
        <w:t>方未按本技术要求和响应文件中规定的其他服务承诺提供售后服务的，按损失情况，每次应按合同合计金额的0.1‰-0.1%</w:t>
      </w:r>
      <w:r>
        <w:rPr>
          <w:rFonts w:hint="eastAsia" w:ascii="宋体" w:hAnsi="宋体" w:eastAsia="宋体" w:cs="宋体"/>
          <w:color w:val="auto"/>
          <w:sz w:val="24"/>
          <w:lang w:val="en-US" w:eastAsia="zh-CN"/>
        </w:rPr>
        <w:t>由乙方</w:t>
      </w:r>
      <w:r>
        <w:rPr>
          <w:rFonts w:hint="eastAsia" w:ascii="宋体" w:hAnsi="宋体" w:eastAsia="宋体" w:cs="宋体"/>
          <w:color w:val="auto"/>
          <w:sz w:val="24"/>
          <w:lang w:val="en-US"/>
        </w:rPr>
        <w:t>向甲方支付违约金，损失累计金额超过合同款项的5%的，损失方同时有权终止合同并收回已付款项。</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6.9厂商不得在提供的硬件及软件系统中设置包括且不限于如：软硬件加密狗、加密软件、时间锁、授权码等限制硬件及软件系统正常运行的措施，</w:t>
      </w:r>
      <w:r>
        <w:rPr>
          <w:rFonts w:hint="eastAsia" w:ascii="宋体" w:hAnsi="宋体" w:cs="宋体"/>
          <w:kern w:val="2"/>
          <w:sz w:val="24"/>
          <w:lang w:val="en-US"/>
        </w:rPr>
        <w:t>，</w:t>
      </w:r>
      <w:r>
        <w:rPr>
          <w:rFonts w:ascii="宋体" w:hAnsi="宋体" w:cs="宋体"/>
          <w:kern w:val="2"/>
          <w:sz w:val="24"/>
          <w:lang w:val="en-US"/>
        </w:rPr>
        <w:t>如有</w:t>
      </w:r>
      <w:r>
        <w:rPr>
          <w:rFonts w:hint="eastAsia" w:ascii="宋体" w:hAnsi="宋体" w:cs="宋体"/>
          <w:kern w:val="2"/>
          <w:sz w:val="24"/>
          <w:lang w:val="en-US"/>
        </w:rPr>
        <w:t>特殊</w:t>
      </w:r>
      <w:r>
        <w:rPr>
          <w:rFonts w:ascii="宋体" w:hAnsi="宋体" w:cs="宋体"/>
          <w:kern w:val="2"/>
          <w:sz w:val="24"/>
          <w:lang w:val="en-US"/>
        </w:rPr>
        <w:t>需要</w:t>
      </w:r>
      <w:r>
        <w:rPr>
          <w:rFonts w:hint="eastAsia" w:ascii="宋体" w:hAnsi="宋体" w:cs="宋体"/>
          <w:kern w:val="2"/>
          <w:sz w:val="24"/>
          <w:lang w:val="en-US"/>
        </w:rPr>
        <w:t>必须提交</w:t>
      </w:r>
      <w:r>
        <w:rPr>
          <w:rFonts w:ascii="宋体" w:hAnsi="宋体" w:cs="宋体"/>
          <w:kern w:val="2"/>
          <w:sz w:val="24"/>
          <w:lang w:val="en-US"/>
        </w:rPr>
        <w:t>纸质</w:t>
      </w:r>
      <w:r>
        <w:rPr>
          <w:rFonts w:hint="eastAsia" w:ascii="宋体" w:hAnsi="宋体" w:cs="宋体"/>
          <w:kern w:val="2"/>
          <w:sz w:val="24"/>
          <w:lang w:val="en-US"/>
        </w:rPr>
        <w:t>文件说明</w:t>
      </w:r>
      <w:r>
        <w:rPr>
          <w:rFonts w:ascii="宋体" w:hAnsi="宋体" w:cs="宋体"/>
          <w:kern w:val="2"/>
          <w:sz w:val="24"/>
          <w:lang w:val="en-US"/>
        </w:rPr>
        <w:t>，经过我院</w:t>
      </w:r>
      <w:r>
        <w:rPr>
          <w:rFonts w:hint="eastAsia" w:ascii="宋体" w:hAnsi="宋体" w:cs="宋体"/>
          <w:kern w:val="2"/>
          <w:sz w:val="24"/>
          <w:lang w:val="en-US"/>
        </w:rPr>
        <w:t>签字同意</w:t>
      </w:r>
      <w:r>
        <w:rPr>
          <w:rFonts w:ascii="宋体" w:hAnsi="宋体" w:cs="宋体"/>
          <w:kern w:val="2"/>
          <w:sz w:val="24"/>
          <w:lang w:val="en-US"/>
        </w:rPr>
        <w:t>才可设置</w:t>
      </w:r>
      <w:r>
        <w:rPr>
          <w:rFonts w:hint="eastAsia" w:ascii="宋体" w:hAnsi="宋体" w:cs="宋体"/>
          <w:kern w:val="2"/>
          <w:sz w:val="24"/>
          <w:lang w:val="en-US" w:eastAsia="zh-CN"/>
        </w:rPr>
        <w:t>，</w:t>
      </w:r>
      <w:r>
        <w:rPr>
          <w:rFonts w:hint="eastAsia" w:ascii="宋体" w:hAnsi="宋体" w:eastAsia="宋体" w:cs="宋体"/>
          <w:color w:val="auto"/>
          <w:kern w:val="2"/>
          <w:sz w:val="24"/>
          <w:szCs w:val="24"/>
          <w:lang w:val="en-US" w:eastAsia="zh-CN" w:bidi="ar-SA"/>
        </w:rPr>
        <w:t>否则视为乙方违约，乙方需要支付医院违约金500000元（伍拾万元），在此基础上医院有权要求乙方退回甲方已支付的所有款项。如对医院造成损失的，甲方有权要求乙方赔偿。</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6.10</w:t>
      </w:r>
      <w:r>
        <w:rPr>
          <w:rFonts w:hint="default" w:ascii="宋体" w:hAnsi="宋体" w:eastAsia="宋体" w:cs="宋体"/>
          <w:color w:val="auto"/>
          <w:kern w:val="2"/>
          <w:sz w:val="24"/>
          <w:szCs w:val="24"/>
          <w:lang w:val="en-US" w:eastAsia="zh-CN" w:bidi="ar-SA"/>
        </w:rPr>
        <w:t>厂商驻场工程师人员变更必须得到医院书面同意，否则视为</w:t>
      </w:r>
      <w:r>
        <w:rPr>
          <w:rFonts w:hint="eastAsia" w:ascii="宋体" w:hAnsi="宋体" w:eastAsia="宋体" w:cs="宋体"/>
          <w:color w:val="auto"/>
          <w:kern w:val="2"/>
          <w:sz w:val="24"/>
          <w:szCs w:val="24"/>
          <w:lang w:val="en-US" w:eastAsia="zh-CN" w:bidi="ar-SA"/>
        </w:rPr>
        <w:t>乙方</w:t>
      </w:r>
      <w:r>
        <w:rPr>
          <w:rFonts w:hint="default" w:ascii="宋体" w:hAnsi="宋体" w:eastAsia="宋体" w:cs="宋体"/>
          <w:color w:val="auto"/>
          <w:kern w:val="2"/>
          <w:sz w:val="24"/>
          <w:szCs w:val="24"/>
          <w:lang w:val="en-US" w:eastAsia="zh-CN" w:bidi="ar-SA"/>
        </w:rPr>
        <w:t>违约，</w:t>
      </w:r>
      <w:r>
        <w:rPr>
          <w:rFonts w:hint="eastAsia" w:ascii="宋体" w:hAnsi="宋体" w:eastAsia="宋体" w:cs="宋体"/>
          <w:color w:val="auto"/>
          <w:kern w:val="2"/>
          <w:sz w:val="24"/>
          <w:szCs w:val="24"/>
          <w:lang w:val="en-US" w:eastAsia="zh-CN" w:bidi="ar-SA"/>
        </w:rPr>
        <w:t>甲</w:t>
      </w:r>
      <w:r>
        <w:rPr>
          <w:rFonts w:hint="default" w:ascii="宋体" w:hAnsi="宋体" w:eastAsia="宋体" w:cs="宋体"/>
          <w:color w:val="auto"/>
          <w:kern w:val="2"/>
          <w:sz w:val="24"/>
          <w:szCs w:val="24"/>
          <w:lang w:val="en-US" w:eastAsia="zh-CN" w:bidi="ar-SA"/>
        </w:rPr>
        <w:t>方有权按500</w:t>
      </w:r>
      <w:r>
        <w:rPr>
          <w:rFonts w:hint="eastAsia" w:ascii="宋体" w:hAnsi="宋体" w:eastAsia="宋体" w:cs="宋体"/>
          <w:color w:val="auto"/>
          <w:kern w:val="2"/>
          <w:sz w:val="24"/>
          <w:szCs w:val="24"/>
          <w:lang w:val="en-US" w:eastAsia="zh-CN" w:bidi="ar-SA"/>
        </w:rPr>
        <w:t>0</w:t>
      </w:r>
      <w:r>
        <w:rPr>
          <w:rFonts w:hint="default" w:ascii="宋体" w:hAnsi="宋体" w:eastAsia="宋体" w:cs="宋体"/>
          <w:color w:val="auto"/>
          <w:kern w:val="2"/>
          <w:sz w:val="24"/>
          <w:szCs w:val="24"/>
          <w:lang w:val="en-US" w:eastAsia="zh-CN" w:bidi="ar-SA"/>
        </w:rPr>
        <w:t>0元/人/次从合同总款中扣除</w:t>
      </w:r>
      <w:r>
        <w:rPr>
          <w:rFonts w:hint="eastAsia" w:ascii="宋体" w:hAnsi="宋体" w:eastAsia="宋体" w:cs="宋体"/>
          <w:color w:val="auto"/>
          <w:kern w:val="2"/>
          <w:sz w:val="24"/>
          <w:szCs w:val="24"/>
          <w:lang w:val="en-US" w:eastAsia="zh-CN" w:bidi="ar-SA"/>
        </w:rPr>
        <w:t>。</w:t>
      </w:r>
    </w:p>
    <w:p>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bookmarkStart w:id="2" w:name="_Toc507405799"/>
      <w:bookmarkStart w:id="3" w:name="_Toc507405800"/>
      <w:r>
        <w:rPr>
          <w:rFonts w:hint="eastAsia" w:ascii="宋体" w:hAnsi="宋体" w:eastAsia="宋体" w:cs="宋体"/>
          <w:b/>
          <w:bCs/>
          <w:color w:val="auto"/>
          <w:sz w:val="28"/>
          <w:lang w:val="en-US"/>
        </w:rPr>
        <w:t>七、保密、廉洁协议</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双方不得以任何方式向第三方泄露本项目的软件技术、设计方案以及功能配置等内容。</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7.3不以任何方式向第三方泄露在本协议开发实施过程中获取的经济、技术、数据以及双方其他非公开的信息。</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widowControl w:val="0"/>
        <w:kinsoku/>
        <w:wordWrap/>
        <w:overflowPunct/>
        <w:topLinePunct w:val="0"/>
        <w:autoSpaceDE/>
        <w:autoSpaceDN/>
        <w:bidi w:val="0"/>
        <w:adjustRightInd/>
        <w:snapToGrid/>
        <w:spacing w:line="312"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7.5保密期限自本合同生效之日起永久有效，如乙方需解除保密协议需向甲方提出书面申请，双方协商同意签字确认后方可解除。</w:t>
      </w:r>
    </w:p>
    <w:p>
      <w:pPr>
        <w:pStyle w:val="2"/>
        <w:pageBreakBefore w:val="0"/>
        <w:widowControl w:val="0"/>
        <w:kinsoku/>
        <w:wordWrap/>
        <w:overflowPunct/>
        <w:topLinePunct w:val="0"/>
        <w:autoSpaceDE/>
        <w:autoSpaceDN/>
        <w:bidi w:val="0"/>
        <w:adjustRightInd/>
        <w:snapToGrid/>
        <w:spacing w:after="0" w:line="312" w:lineRule="auto"/>
        <w:textAlignment w:val="auto"/>
        <w:rPr>
          <w:color w:val="auto"/>
          <w:lang w:val="en-US"/>
        </w:rPr>
      </w:pP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lang w:val="en-US"/>
        </w:rPr>
      </w:pPr>
      <w:r>
        <w:rPr>
          <w:rFonts w:hint="eastAsia" w:ascii="宋体" w:hAnsi="宋体" w:eastAsia="宋体" w:cs="宋体"/>
          <w:b/>
          <w:bCs/>
          <w:color w:val="auto"/>
          <w:sz w:val="28"/>
          <w:lang w:val="en-US"/>
        </w:rPr>
        <w:t>八、报价</w:t>
      </w:r>
    </w:p>
    <w:bookmarkEnd w:id="2"/>
    <w:bookmarkEnd w:id="3"/>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 xml:space="preserve">8.1 </w:t>
      </w:r>
      <w:r>
        <w:rPr>
          <w:rFonts w:hint="eastAsia" w:ascii="宋体" w:hAnsi="宋体" w:eastAsia="宋体" w:cs="宋体"/>
          <w:color w:val="FF0000"/>
          <w:sz w:val="24"/>
          <w:szCs w:val="24"/>
        </w:rPr>
        <w:t>竞标文件按系统模块报价，报价表价格包含系统软硬件费用、产品安装、调试实施、培训费用、产品升级</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接口费（包括第三方厂家的接口费）等</w:t>
      </w:r>
      <w:r>
        <w:rPr>
          <w:rFonts w:hint="eastAsia" w:ascii="宋体" w:hAnsi="宋体" w:eastAsia="宋体" w:cs="宋体"/>
          <w:color w:val="FF0000"/>
          <w:sz w:val="24"/>
          <w:szCs w:val="24"/>
        </w:rPr>
        <w:t>费用，以及明示所有责任、义务和一切风险。</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lang w:val="en-US" w:eastAsia="zh-CN"/>
        </w:rPr>
        <w:t xml:space="preserve">8.2 </w:t>
      </w:r>
      <w:r>
        <w:rPr>
          <w:rFonts w:hint="eastAsia" w:ascii="宋体" w:hAnsi="宋体" w:eastAsia="宋体" w:cs="宋体"/>
          <w:color w:val="FF0000"/>
          <w:sz w:val="24"/>
          <w:szCs w:val="24"/>
          <w:lang w:eastAsia="zh-CN"/>
        </w:rPr>
        <w:t>竞标文件需提供质保期到期后续保的报价。</w:t>
      </w:r>
      <w:bookmarkStart w:id="4" w:name="_GoBack"/>
      <w:bookmarkEnd w:id="4"/>
    </w:p>
    <w:p>
      <w:pPr>
        <w:pStyle w:val="2"/>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right="0" w:rightChars="0" w:firstLine="480" w:firstLineChars="200"/>
        <w:textAlignment w:val="auto"/>
        <w:rPr>
          <w:rFonts w:ascii="宋体" w:hAnsi="宋体" w:eastAsia="宋体" w:cs="宋体"/>
          <w:strike w:val="0"/>
          <w:dstrike w:val="0"/>
          <w:color w:val="FF0000"/>
          <w:sz w:val="24"/>
          <w:szCs w:val="24"/>
        </w:rPr>
      </w:pPr>
      <w:r>
        <w:rPr>
          <w:rFonts w:hint="eastAsia" w:ascii="宋体" w:hAnsi="宋体" w:eastAsia="宋体" w:cs="宋体"/>
          <w:strike w:val="0"/>
          <w:dstrike w:val="0"/>
          <w:color w:val="FF0000"/>
          <w:sz w:val="24"/>
          <w:szCs w:val="24"/>
          <w:lang w:val="en-US" w:eastAsia="zh-CN"/>
        </w:rPr>
        <w:t xml:space="preserve">8.3 </w:t>
      </w:r>
      <w:r>
        <w:rPr>
          <w:rFonts w:hint="eastAsia" w:ascii="宋体" w:hAnsi="宋体" w:eastAsia="宋体" w:cs="宋体"/>
          <w:strike w:val="0"/>
          <w:dstrike w:val="0"/>
          <w:color w:val="FF0000"/>
          <w:sz w:val="24"/>
          <w:szCs w:val="24"/>
          <w:lang w:eastAsia="zh-CN"/>
        </w:rPr>
        <w:t>竞标文件需提供系统详细图文介绍。系统实施验收参照本技术文档及竞标文件提供的图文介绍为依据。</w:t>
      </w:r>
    </w:p>
    <w:p>
      <w:pPr>
        <w:pStyle w:val="3"/>
        <w:pageBreakBefore w:val="0"/>
        <w:widowControl w:val="0"/>
        <w:numPr>
          <w:ilvl w:val="0"/>
          <w:numId w:val="0"/>
        </w:numPr>
        <w:kinsoku/>
        <w:wordWrap/>
        <w:overflowPunct/>
        <w:topLinePunct w:val="0"/>
        <w:autoSpaceDE/>
        <w:autoSpaceDN/>
        <w:bidi w:val="0"/>
        <w:adjustRightInd/>
        <w:snapToGrid/>
        <w:spacing w:before="0" w:after="0" w:line="312" w:lineRule="auto"/>
        <w:textAlignment w:val="auto"/>
        <w:rPr>
          <w:rFonts w:ascii="宋体" w:hAnsi="宋体"/>
          <w:bCs w:val="0"/>
          <w:color w:val="FF0000"/>
          <w:sz w:val="32"/>
          <w:szCs w:val="32"/>
        </w:rPr>
      </w:pPr>
      <w:r>
        <w:rPr>
          <w:rFonts w:hint="eastAsia" w:ascii="宋体" w:hAnsi="宋体"/>
          <w:bCs w:val="0"/>
          <w:color w:val="FF0000"/>
          <w:sz w:val="32"/>
          <w:szCs w:val="32"/>
        </w:rPr>
        <w:t>九、付款方式</w:t>
      </w:r>
    </w:p>
    <w:p>
      <w:pPr>
        <w:keepNext w:val="0"/>
        <w:keepLines w:val="0"/>
        <w:pageBreakBefore w:val="0"/>
        <w:widowControl w:val="0"/>
        <w:kinsoku/>
        <w:wordWrap/>
        <w:overflowPunct/>
        <w:topLinePunct w:val="0"/>
        <w:autoSpaceDE/>
        <w:autoSpaceDN/>
        <w:bidi w:val="0"/>
        <w:adjustRightInd/>
        <w:snapToGrid/>
        <w:spacing w:line="312" w:lineRule="auto"/>
        <w:ind w:right="0" w:rightChars="0" w:firstLine="480" w:firstLineChars="200"/>
        <w:jc w:val="left"/>
        <w:textAlignment w:val="auto"/>
        <w:rPr>
          <w:rFonts w:ascii="宋体" w:hAnsi="宋体" w:eastAsia="宋体" w:cs="微软雅黑"/>
          <w:color w:val="FF0000"/>
          <w:sz w:val="24"/>
          <w:szCs w:val="24"/>
        </w:rPr>
      </w:pPr>
      <w:r>
        <w:rPr>
          <w:rFonts w:hint="eastAsia" w:ascii="宋体" w:hAnsi="宋体" w:eastAsia="宋体" w:cs="微软雅黑"/>
          <w:color w:val="FF0000"/>
          <w:sz w:val="24"/>
          <w:szCs w:val="24"/>
        </w:rPr>
        <w:t>项目双方签订合同，项目</w:t>
      </w:r>
      <w:r>
        <w:rPr>
          <w:rFonts w:hint="eastAsia" w:ascii="宋体" w:hAnsi="宋体" w:eastAsia="宋体" w:cs="微软雅黑"/>
          <w:color w:val="FF0000"/>
          <w:sz w:val="24"/>
          <w:szCs w:val="24"/>
          <w:lang w:val="en-US" w:eastAsia="zh-CN"/>
        </w:rPr>
        <w:t>上线稳定运行</w:t>
      </w:r>
      <w:r>
        <w:rPr>
          <w:rFonts w:hint="eastAsia" w:ascii="宋体" w:hAnsi="宋体" w:eastAsia="宋体" w:cs="微软雅黑"/>
          <w:color w:val="FF0000"/>
          <w:sz w:val="24"/>
          <w:szCs w:val="24"/>
        </w:rPr>
        <w:t>1个月后，用户支付合同款项的30%；合同中的模块实施完毕，上线稳定运行3个月后，启动验收，验收合格后</w:t>
      </w:r>
      <w:r>
        <w:rPr>
          <w:rFonts w:hint="eastAsia" w:ascii="宋体" w:hAnsi="宋体" w:eastAsia="宋体" w:cs="微软雅黑"/>
          <w:color w:val="FF0000"/>
          <w:sz w:val="24"/>
          <w:szCs w:val="24"/>
          <w:lang w:eastAsia="zh-CN"/>
        </w:rPr>
        <w:t>支</w:t>
      </w:r>
      <w:r>
        <w:rPr>
          <w:rFonts w:hint="eastAsia" w:ascii="宋体" w:hAnsi="宋体" w:eastAsia="宋体" w:cs="微软雅黑"/>
          <w:color w:val="FF0000"/>
          <w:sz w:val="24"/>
          <w:szCs w:val="24"/>
        </w:rPr>
        <w:t>付合同款项的60%</w:t>
      </w:r>
      <w:r>
        <w:rPr>
          <w:rFonts w:hint="eastAsia" w:ascii="宋体" w:hAnsi="宋体" w:eastAsia="宋体" w:cs="微软雅黑"/>
          <w:color w:val="FF0000"/>
          <w:sz w:val="24"/>
          <w:szCs w:val="24"/>
          <w:lang w:val="en-US" w:eastAsia="zh-CN"/>
        </w:rPr>
        <w:t>；</w:t>
      </w:r>
      <w:r>
        <w:rPr>
          <w:rFonts w:hint="eastAsia" w:ascii="宋体" w:hAnsi="宋体" w:eastAsia="宋体" w:cs="微软雅黑"/>
          <w:color w:val="FF0000"/>
          <w:sz w:val="24"/>
          <w:szCs w:val="24"/>
        </w:rPr>
        <w:t>自验收合格之日起，1年后</w:t>
      </w:r>
      <w:r>
        <w:rPr>
          <w:rFonts w:hint="eastAsia" w:ascii="宋体" w:hAnsi="宋体" w:eastAsia="宋体" w:cs="微软雅黑"/>
          <w:color w:val="FF0000"/>
          <w:sz w:val="24"/>
          <w:szCs w:val="24"/>
          <w:lang w:eastAsia="zh-CN"/>
        </w:rPr>
        <w:t>支</w:t>
      </w:r>
      <w:r>
        <w:rPr>
          <w:rFonts w:hint="eastAsia" w:ascii="宋体" w:hAnsi="宋体" w:eastAsia="宋体" w:cs="微软雅黑"/>
          <w:color w:val="FF0000"/>
          <w:sz w:val="24"/>
          <w:szCs w:val="24"/>
        </w:rPr>
        <w:t>付10%</w:t>
      </w:r>
      <w:r>
        <w:rPr>
          <w:rFonts w:hint="eastAsia" w:ascii="宋体" w:hAnsi="宋体" w:eastAsia="宋体" w:cs="微软雅黑"/>
          <w:color w:val="FF0000"/>
          <w:sz w:val="24"/>
          <w:szCs w:val="24"/>
          <w:lang w:eastAsia="zh-CN"/>
        </w:rPr>
        <w:t>（不含利息）</w:t>
      </w:r>
      <w:r>
        <w:rPr>
          <w:rFonts w:hint="eastAsia" w:ascii="宋体" w:hAnsi="宋体" w:eastAsia="宋体" w:cs="微软雅黑"/>
          <w:color w:val="FF0000"/>
          <w:sz w:val="24"/>
          <w:szCs w:val="24"/>
        </w:rPr>
        <w:t>。</w:t>
      </w:r>
    </w:p>
    <w:p>
      <w:pPr>
        <w:pStyle w:val="2"/>
        <w:pageBreakBefore w:val="0"/>
        <w:widowControl w:val="0"/>
        <w:kinsoku/>
        <w:wordWrap/>
        <w:overflowPunct/>
        <w:topLinePunct w:val="0"/>
        <w:autoSpaceDE/>
        <w:autoSpaceDN/>
        <w:bidi w:val="0"/>
        <w:adjustRightInd/>
        <w:snapToGrid/>
        <w:spacing w:after="0" w:line="312" w:lineRule="auto"/>
        <w:textAlignment w:val="auto"/>
      </w:pPr>
    </w:p>
    <w:p>
      <w:pPr>
        <w:pStyle w:val="2"/>
        <w:pageBreakBefore w:val="0"/>
        <w:widowControl w:val="0"/>
        <w:kinsoku/>
        <w:wordWrap/>
        <w:overflowPunct/>
        <w:topLinePunct w:val="0"/>
        <w:autoSpaceDE/>
        <w:autoSpaceDN/>
        <w:bidi w:val="0"/>
        <w:adjustRightInd/>
        <w:snapToGrid/>
        <w:spacing w:after="0" w:line="312" w:lineRule="auto"/>
        <w:textAlignment w:val="auto"/>
        <w:rPr>
          <w:sz w:val="24"/>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1">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OWE0M2Y5OWYwZTYyYWYwNmUzNWIwNzlhMjAzZWIifQ=="/>
  </w:docVars>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6DF14B2"/>
    <w:rsid w:val="0A791D80"/>
    <w:rsid w:val="0F2A1F3D"/>
    <w:rsid w:val="109B068D"/>
    <w:rsid w:val="114F3797"/>
    <w:rsid w:val="14782DB8"/>
    <w:rsid w:val="14AF00BD"/>
    <w:rsid w:val="153D4F2B"/>
    <w:rsid w:val="165C1DAE"/>
    <w:rsid w:val="16ED2D59"/>
    <w:rsid w:val="17515E6A"/>
    <w:rsid w:val="17536FF6"/>
    <w:rsid w:val="19151124"/>
    <w:rsid w:val="1A251034"/>
    <w:rsid w:val="1AA944D3"/>
    <w:rsid w:val="1B5C436C"/>
    <w:rsid w:val="1B91509A"/>
    <w:rsid w:val="1D9262D5"/>
    <w:rsid w:val="22293C01"/>
    <w:rsid w:val="224243ED"/>
    <w:rsid w:val="24DA1462"/>
    <w:rsid w:val="251F0377"/>
    <w:rsid w:val="25D43FBF"/>
    <w:rsid w:val="26AA16D4"/>
    <w:rsid w:val="284C2F0D"/>
    <w:rsid w:val="2E55261B"/>
    <w:rsid w:val="341950AF"/>
    <w:rsid w:val="34A02F04"/>
    <w:rsid w:val="367D4F11"/>
    <w:rsid w:val="3A965B44"/>
    <w:rsid w:val="3B4F3BCB"/>
    <w:rsid w:val="3D655CAD"/>
    <w:rsid w:val="3DCF123E"/>
    <w:rsid w:val="3FFE146B"/>
    <w:rsid w:val="41971DBD"/>
    <w:rsid w:val="455A3219"/>
    <w:rsid w:val="480C0CC5"/>
    <w:rsid w:val="49C017DB"/>
    <w:rsid w:val="4BBE64CF"/>
    <w:rsid w:val="4F640350"/>
    <w:rsid w:val="507D710A"/>
    <w:rsid w:val="50844495"/>
    <w:rsid w:val="508670F0"/>
    <w:rsid w:val="50A873B9"/>
    <w:rsid w:val="52C84CF5"/>
    <w:rsid w:val="54361EC0"/>
    <w:rsid w:val="54E82BB7"/>
    <w:rsid w:val="55B43D13"/>
    <w:rsid w:val="56864135"/>
    <w:rsid w:val="585573E7"/>
    <w:rsid w:val="5A334C18"/>
    <w:rsid w:val="5C6164F3"/>
    <w:rsid w:val="5EEF047E"/>
    <w:rsid w:val="606A2F3D"/>
    <w:rsid w:val="63EF6D4C"/>
    <w:rsid w:val="65EF576E"/>
    <w:rsid w:val="67234BE8"/>
    <w:rsid w:val="68B72934"/>
    <w:rsid w:val="69A9737D"/>
    <w:rsid w:val="6A5B6461"/>
    <w:rsid w:val="6CED0739"/>
    <w:rsid w:val="711C77D0"/>
    <w:rsid w:val="73051406"/>
    <w:rsid w:val="73F71B2F"/>
    <w:rsid w:val="76C64F98"/>
    <w:rsid w:val="79792DFF"/>
    <w:rsid w:val="798B51A2"/>
    <w:rsid w:val="7AB427B8"/>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5"/>
    <w:qFormat/>
    <w:uiPriority w:val="0"/>
    <w:pPr>
      <w:spacing w:after="120"/>
    </w:pPr>
    <w:rPr>
      <w:rFonts w:ascii="Times New Roman" w:hAnsi="Times New Roman"/>
      <w:kern w:val="0"/>
      <w:sz w:val="20"/>
      <w:szCs w:val="24"/>
      <w:lang w:val="zh-CN"/>
    </w:rPr>
  </w:style>
  <w:style w:type="paragraph" w:styleId="4">
    <w:name w:val="Body Text Indent"/>
    <w:basedOn w:val="1"/>
    <w:qFormat/>
    <w:uiPriority w:val="0"/>
    <w:pPr>
      <w:spacing w:after="120"/>
      <w:ind w:left="420" w:left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paragraph" w:customStyle="1" w:styleId="12">
    <w:name w:val="p15"/>
    <w:basedOn w:val="1"/>
    <w:qFormat/>
    <w:uiPriority w:val="0"/>
    <w:pPr>
      <w:widowControl/>
      <w:ind w:firstLine="420"/>
    </w:pPr>
    <w:rPr>
      <w:kern w:val="0"/>
      <w:szCs w:val="21"/>
    </w:rPr>
  </w:style>
  <w:style w:type="character" w:customStyle="1" w:styleId="13">
    <w:name w:val="页眉 字符"/>
    <w:basedOn w:val="10"/>
    <w:link w:val="6"/>
    <w:qFormat/>
    <w:uiPriority w:val="0"/>
    <w:rPr>
      <w:rFonts w:asciiTheme="minorHAnsi" w:hAnsiTheme="minorHAnsi" w:eastAsiaTheme="minorEastAsia" w:cstheme="minorBidi"/>
      <w:kern w:val="2"/>
      <w:sz w:val="18"/>
      <w:szCs w:val="18"/>
    </w:rPr>
  </w:style>
  <w:style w:type="character" w:customStyle="1" w:styleId="14">
    <w:name w:val="页脚 字符"/>
    <w:basedOn w:val="10"/>
    <w:link w:val="5"/>
    <w:qFormat/>
    <w:uiPriority w:val="0"/>
    <w:rPr>
      <w:rFonts w:asciiTheme="minorHAnsi" w:hAnsiTheme="minorHAnsi" w:eastAsiaTheme="minorEastAsia" w:cstheme="minorBidi"/>
      <w:kern w:val="2"/>
      <w:sz w:val="18"/>
      <w:szCs w:val="18"/>
    </w:rPr>
  </w:style>
  <w:style w:type="character" w:customStyle="1" w:styleId="15">
    <w:name w:val="正文文本 字符"/>
    <w:basedOn w:val="10"/>
    <w:link w:val="2"/>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6383</Words>
  <Characters>6575</Characters>
  <Lines>26</Lines>
  <Paragraphs>7</Paragraphs>
  <TotalTime>0</TotalTime>
  <ScaleCrop>false</ScaleCrop>
  <LinksUpToDate>false</LinksUpToDate>
  <CharactersWithSpaces>6600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阿信</cp:lastModifiedBy>
  <dcterms:modified xsi:type="dcterms:W3CDTF">2023-03-14T08:41:06Z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9547DA92FE474BA19CDF1BEBF3B1A9EA</vt:lpwstr>
  </property>
</Properties>
</file>