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柳州市工人医院西院地下停车场</w:t>
      </w:r>
      <w:r>
        <w:rPr>
          <w:rFonts w:hint="eastAsia" w:ascii="仿宋" w:hAnsi="仿宋" w:eastAsia="仿宋" w:cs="仿宋"/>
          <w:b/>
          <w:sz w:val="36"/>
          <w:szCs w:val="36"/>
          <w:lang w:val="en-US" w:eastAsia="zh-CN"/>
        </w:rPr>
        <w:t>智能</w:t>
      </w:r>
      <w:r>
        <w:rPr>
          <w:rFonts w:hint="eastAsia" w:ascii="仿宋" w:hAnsi="仿宋" w:eastAsia="仿宋" w:cs="仿宋"/>
          <w:b/>
          <w:sz w:val="36"/>
          <w:szCs w:val="36"/>
          <w:lang w:eastAsia="zh-CN"/>
        </w:rPr>
        <w:t>道闸</w:t>
      </w:r>
      <w:r>
        <w:rPr>
          <w:rFonts w:hint="eastAsia" w:ascii="仿宋" w:hAnsi="仿宋" w:eastAsia="仿宋" w:cs="仿宋"/>
          <w:b/>
          <w:sz w:val="36"/>
          <w:szCs w:val="36"/>
          <w:lang w:val="en-US" w:eastAsia="zh-CN"/>
        </w:rPr>
        <w:t>采购</w:t>
      </w:r>
      <w:r>
        <w:rPr>
          <w:rFonts w:hint="eastAsia" w:ascii="仿宋" w:hAnsi="仿宋" w:eastAsia="仿宋" w:cs="仿宋"/>
          <w:b/>
          <w:sz w:val="36"/>
          <w:szCs w:val="36"/>
          <w:lang w:eastAsia="zh-CN"/>
        </w:rPr>
        <w:t>需求</w:t>
      </w: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    柳州市工人医院西院地下停车场智能道闸采购</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因国内疫情防控形势严峻复杂，为进一步加强西院区人流进出管控，优化西院区地下停车场两个出入口管理，彻底杜绝未经扫码测温的行人通过地下停车场出入口进入到门诊大厅的情况</w:t>
      </w:r>
      <w:r>
        <w:rPr>
          <w:rFonts w:hint="eastAsia" w:ascii="仿宋" w:hAnsi="仿宋" w:eastAsia="仿宋" w:cs="仿宋"/>
          <w:sz w:val="28"/>
          <w:szCs w:val="36"/>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三、投标人</w:t>
      </w:r>
      <w:r>
        <w:rPr>
          <w:rFonts w:hint="eastAsia" w:ascii="仿宋" w:hAnsi="仿宋" w:eastAsia="仿宋" w:cs="仿宋"/>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1、投标人需为国内注册（指按国家有关规定要求注册的）生产或经营本次招标采购货物及服务</w:t>
      </w:r>
      <w:r>
        <w:rPr>
          <w:rFonts w:hint="eastAsia" w:ascii="仿宋" w:hAnsi="仿宋" w:eastAsia="仿宋" w:cs="仿宋"/>
          <w:sz w:val="28"/>
          <w:szCs w:val="28"/>
          <w:lang w:eastAsia="zh-CN"/>
        </w:rPr>
        <w:t>、</w:t>
      </w:r>
      <w:r>
        <w:rPr>
          <w:rFonts w:hint="eastAsia" w:ascii="仿宋" w:hAnsi="仿宋" w:eastAsia="仿宋" w:cs="仿宋"/>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4、投标人有效的“税务登记证”副本复印件。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四、项目内容</w:t>
      </w:r>
    </w:p>
    <w:p>
      <w:pPr>
        <w:pStyle w:val="2"/>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采购内容：清单如下：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230"/>
        <w:gridCol w:w="4155"/>
        <w:gridCol w:w="705"/>
        <w:gridCol w:w="72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23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415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参数配置</w:t>
            </w:r>
          </w:p>
        </w:tc>
        <w:tc>
          <w:tcPr>
            <w:tcW w:w="70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7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853"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30" w:type="dxa"/>
            <w:vAlign w:val="center"/>
          </w:tcPr>
          <w:p>
            <w:p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车牌识别</w:t>
            </w:r>
          </w:p>
          <w:p>
            <w:p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一体机</w:t>
            </w:r>
          </w:p>
        </w:tc>
        <w:tc>
          <w:tcPr>
            <w:tcW w:w="4155" w:type="dxa"/>
            <w:vAlign w:val="center"/>
          </w:tcPr>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1、300万高清车牌识别相机</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2、专用三维万向节</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3、防眩感光LED补光灯</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4、四行三色高亮显示屏</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5、语音显示控制板</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6、独立供电专用电源</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7、99.8%车牌识别率</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8、高清语音播报系统</w:t>
            </w:r>
          </w:p>
        </w:tc>
        <w:tc>
          <w:tcPr>
            <w:tcW w:w="70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7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套</w:t>
            </w:r>
          </w:p>
        </w:tc>
        <w:tc>
          <w:tcPr>
            <w:tcW w:w="853"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30" w:type="dxa"/>
            <w:vAlign w:val="center"/>
          </w:tcPr>
          <w:p>
            <w:pPr>
              <w:jc w:val="center"/>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智能闸机</w:t>
            </w:r>
          </w:p>
        </w:tc>
        <w:tc>
          <w:tcPr>
            <w:tcW w:w="4155"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道闸：</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1、起杆速度：6秒</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2、闸杆长度：4米</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3、栏杆款式：广告</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4、外形尺寸：500×330×1203mm</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5、遥控距离：30米</w:t>
            </w:r>
          </w:p>
          <w:p>
            <w:pPr>
              <w:jc w:val="left"/>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车辆安全检测器</w:t>
            </w:r>
            <w:r>
              <w:rPr>
                <w:rFonts w:hint="eastAsia" w:ascii="仿宋" w:hAnsi="仿宋" w:eastAsia="仿宋" w:cs="仿宋"/>
                <w:sz w:val="24"/>
                <w:szCs w:val="24"/>
                <w:vertAlign w:val="baseline"/>
                <w:lang w:val="en-US" w:eastAsia="zh-CN"/>
              </w:rPr>
              <w:t>：</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1、电源:220AC</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2、线圈电感范围:20uH～900uH</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3、灵敏度:3级可调</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4、指示灯:电源、检测、出错</w:t>
            </w:r>
          </w:p>
          <w:p>
            <w:pPr>
              <w:jc w:val="left"/>
              <w:rPr>
                <w:rFonts w:hint="eastAsia"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防砸感应线圈</w:t>
            </w:r>
            <w:r>
              <w:rPr>
                <w:rFonts w:hint="eastAsia" w:ascii="仿宋" w:hAnsi="仿宋" w:eastAsia="仿宋" w:cs="仿宋"/>
                <w:sz w:val="24"/>
                <w:szCs w:val="24"/>
                <w:vertAlign w:val="baseline"/>
                <w:lang w:val="en-US" w:eastAsia="zh-CN"/>
              </w:rPr>
              <w:t>：</w:t>
            </w:r>
          </w:p>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1、道闸专用地感线圈50米</w:t>
            </w:r>
          </w:p>
        </w:tc>
        <w:tc>
          <w:tcPr>
            <w:tcW w:w="70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7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套</w:t>
            </w:r>
          </w:p>
        </w:tc>
        <w:tc>
          <w:tcPr>
            <w:tcW w:w="853"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3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交换机</w:t>
            </w:r>
          </w:p>
        </w:tc>
        <w:tc>
          <w:tcPr>
            <w:tcW w:w="4155" w:type="dxa"/>
            <w:vAlign w:val="center"/>
          </w:tcPr>
          <w:p>
            <w:pPr>
              <w:jc w:val="left"/>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5口百兆交换机</w:t>
            </w:r>
          </w:p>
        </w:tc>
        <w:tc>
          <w:tcPr>
            <w:tcW w:w="70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7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853" w:type="dxa"/>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23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施工辅材及人工费</w:t>
            </w:r>
          </w:p>
        </w:tc>
        <w:tc>
          <w:tcPr>
            <w:tcW w:w="4155" w:type="dxa"/>
            <w:vAlign w:val="center"/>
          </w:tcPr>
          <w:p>
            <w:pPr>
              <w:numPr>
                <w:ilvl w:val="0"/>
                <w:numId w:val="1"/>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光纤、网线，电源线，安全岛等施工辅材</w:t>
            </w:r>
          </w:p>
          <w:p>
            <w:pPr>
              <w:numPr>
                <w:ilvl w:val="0"/>
                <w:numId w:val="1"/>
              </w:num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安装、调试等人工费用</w:t>
            </w:r>
          </w:p>
        </w:tc>
        <w:tc>
          <w:tcPr>
            <w:tcW w:w="70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7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批</w:t>
            </w:r>
          </w:p>
        </w:tc>
        <w:tc>
          <w:tcPr>
            <w:tcW w:w="853" w:type="dxa"/>
            <w:vAlign w:val="center"/>
          </w:tcPr>
          <w:p>
            <w:pPr>
              <w:jc w:val="center"/>
              <w:rPr>
                <w:rFonts w:hint="default" w:ascii="仿宋" w:hAnsi="仿宋" w:eastAsia="仿宋" w:cs="仿宋"/>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1、系统可以申请开通扫码支付、无感支付功能。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2、扫码支付、无感支付资金直连模式，不过第三方。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lang w:val="en-US" w:eastAsia="zh-CN"/>
        </w:rPr>
      </w:pPr>
      <w:r>
        <w:rPr>
          <w:rFonts w:hint="eastAsia" w:ascii="仿宋" w:hAnsi="仿宋" w:eastAsia="仿宋" w:cs="仿宋"/>
          <w:sz w:val="28"/>
          <w:szCs w:val="28"/>
          <w:lang w:val="en-US" w:eastAsia="zh-CN"/>
        </w:rPr>
        <w:t>3、电脑端联网查看收入情况，手机端远程查看收入情况。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1、</w:t>
      </w:r>
      <w:r>
        <w:rPr>
          <w:rFonts w:hint="eastAsia" w:ascii="仿宋" w:hAnsi="仿宋" w:eastAsia="仿宋" w:cs="仿宋"/>
          <w:color w:val="auto"/>
          <w:kern w:val="2"/>
          <w:sz w:val="28"/>
          <w:szCs w:val="28"/>
          <w:lang w:val="en-US" w:eastAsia="zh-CN" w:bidi="ar-SA"/>
        </w:rPr>
        <w:t>报价含人工费、材料费、装卸车费、运输费、管理费、保险、质保期、利润、税金等为完成本项目所需的所有费用，在实施期间不因市场因素而变动。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3、报价人需按采购清单要求填写应标品牌型号、应标参数、偏离情况、报价、质保期等内容。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六、其他要求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1、交货时如出现质量、型号、参数与招投标文件不符的情况，供应商应无条件给予更换，项目整体质</w:t>
      </w:r>
      <w:bookmarkStart w:id="0" w:name="_GoBack"/>
      <w:bookmarkEnd w:id="0"/>
      <w:r>
        <w:rPr>
          <w:rFonts w:hint="eastAsia" w:ascii="仿宋" w:hAnsi="仿宋" w:eastAsia="仿宋" w:cs="仿宋"/>
          <w:color w:val="auto"/>
          <w:kern w:val="2"/>
          <w:sz w:val="28"/>
          <w:szCs w:val="28"/>
          <w:lang w:val="en-US" w:eastAsia="zh-CN" w:bidi="ar-SA"/>
        </w:rPr>
        <w:t>保2年。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2、供应商确保所供应产品符合国家相关技术部门规定技术要求。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六、合同期及结算方式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1、本项目为一次性采购，签订合同后，5天内完成所有设备供货及调试安装；</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2、结算方式：供货安装调试完毕，正常使用验收完成后一次性支付全款。       </w:t>
      </w:r>
    </w:p>
    <w:p>
      <w:pPr>
        <w:keepNext w:val="0"/>
        <w:keepLines w:val="0"/>
        <w:pageBreakBefore w:val="0"/>
        <w:widowControl w:val="0"/>
        <w:kinsoku/>
        <w:wordWrap/>
        <w:overflowPunct/>
        <w:topLinePunct w:val="0"/>
        <w:autoSpaceDE/>
        <w:autoSpaceDN/>
        <w:bidi w:val="0"/>
        <w:adjustRightInd/>
        <w:snapToGrid/>
        <w:spacing w:line="480" w:lineRule="auto"/>
        <w:ind w:firstLine="5040" w:firstLineChars="1800"/>
        <w:jc w:val="both"/>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5040" w:firstLineChars="18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西院综合办公室：</w:t>
      </w:r>
    </w:p>
    <w:p>
      <w:pPr>
        <w:keepNext w:val="0"/>
        <w:keepLines w:val="0"/>
        <w:pageBreakBefore w:val="0"/>
        <w:widowControl w:val="0"/>
        <w:kinsoku/>
        <w:wordWrap/>
        <w:overflowPunct/>
        <w:topLinePunct w:val="0"/>
        <w:autoSpaceDE/>
        <w:autoSpaceDN/>
        <w:bidi w:val="0"/>
        <w:adjustRightInd/>
        <w:snapToGrid/>
        <w:spacing w:line="480" w:lineRule="auto"/>
        <w:ind w:firstLine="5320" w:firstLineChars="1900"/>
        <w:jc w:val="both"/>
        <w:textAlignment w:val="auto"/>
        <w:rPr>
          <w:rFonts w:hint="eastAsia" w:ascii="仿宋" w:hAnsi="仿宋" w:eastAsia="仿宋" w:cs="仿宋"/>
          <w:lang w:val="en-US" w:eastAsia="zh-CN"/>
        </w:rPr>
      </w:pPr>
      <w:r>
        <w:rPr>
          <w:rFonts w:hint="eastAsia" w:ascii="仿宋" w:hAnsi="仿宋" w:eastAsia="仿宋" w:cs="仿宋"/>
          <w:sz w:val="28"/>
          <w:szCs w:val="28"/>
          <w:lang w:val="en-US" w:eastAsia="zh-CN"/>
        </w:rPr>
        <w:t>总务科经办人：</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总务科负责人：</w:t>
      </w:r>
    </w:p>
    <w:p>
      <w:pPr>
        <w:keepNext w:val="0"/>
        <w:keepLines w:val="0"/>
        <w:pageBreakBefore w:val="0"/>
        <w:widowControl w:val="0"/>
        <w:kinsoku/>
        <w:wordWrap/>
        <w:overflowPunct/>
        <w:topLinePunct w:val="0"/>
        <w:autoSpaceDE/>
        <w:autoSpaceDN/>
        <w:bidi w:val="0"/>
        <w:adjustRightInd/>
        <w:snapToGrid/>
        <w:spacing w:line="480" w:lineRule="auto"/>
        <w:ind w:firstLine="5040" w:firstLineChars="1800"/>
        <w:jc w:val="both"/>
        <w:textAlignment w:val="auto"/>
        <w:rPr>
          <w:rFonts w:hint="eastAsia"/>
          <w:lang w:val="en-US" w:eastAsia="zh-CN"/>
        </w:rPr>
      </w:pPr>
      <w:r>
        <w:rPr>
          <w:rFonts w:hint="eastAsia" w:ascii="仿宋" w:hAnsi="仿宋" w:eastAsia="仿宋" w:cs="仿宋"/>
          <w:sz w:val="28"/>
          <w:szCs w:val="28"/>
          <w:lang w:val="en-US" w:eastAsia="zh-CN"/>
        </w:rPr>
        <w:t>2022年12月6日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D35F7"/>
    <w:multiLevelType w:val="singleLevel"/>
    <w:tmpl w:val="712D35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GY4NmNhMDhkMjYzNmFmNDBjOTk1MWFhYjgxM2UifQ=="/>
  </w:docVars>
  <w:rsids>
    <w:rsidRoot w:val="53C91D89"/>
    <w:rsid w:val="010951A7"/>
    <w:rsid w:val="029006F1"/>
    <w:rsid w:val="03435C52"/>
    <w:rsid w:val="041744FB"/>
    <w:rsid w:val="042621F8"/>
    <w:rsid w:val="047E1FB9"/>
    <w:rsid w:val="05B0028B"/>
    <w:rsid w:val="05C74289"/>
    <w:rsid w:val="061E3F1F"/>
    <w:rsid w:val="06D663A6"/>
    <w:rsid w:val="07664AA9"/>
    <w:rsid w:val="0AD409A0"/>
    <w:rsid w:val="0C29450A"/>
    <w:rsid w:val="0D052F8B"/>
    <w:rsid w:val="0DEC388F"/>
    <w:rsid w:val="0DFB3956"/>
    <w:rsid w:val="0E1F0604"/>
    <w:rsid w:val="10013F2C"/>
    <w:rsid w:val="11424D1C"/>
    <w:rsid w:val="11634099"/>
    <w:rsid w:val="11F86147"/>
    <w:rsid w:val="128571E5"/>
    <w:rsid w:val="139F4F81"/>
    <w:rsid w:val="158A71B2"/>
    <w:rsid w:val="162D644C"/>
    <w:rsid w:val="16A805D8"/>
    <w:rsid w:val="171C1FFC"/>
    <w:rsid w:val="17AA5816"/>
    <w:rsid w:val="17CB6A54"/>
    <w:rsid w:val="17F07302"/>
    <w:rsid w:val="19AB7B33"/>
    <w:rsid w:val="1C52663A"/>
    <w:rsid w:val="1CBE4E69"/>
    <w:rsid w:val="1E1D2544"/>
    <w:rsid w:val="1F7B2D1C"/>
    <w:rsid w:val="1FBD62B1"/>
    <w:rsid w:val="20B16B03"/>
    <w:rsid w:val="219B01F8"/>
    <w:rsid w:val="21A07DC1"/>
    <w:rsid w:val="22E362D2"/>
    <w:rsid w:val="26D52249"/>
    <w:rsid w:val="28865645"/>
    <w:rsid w:val="2C022C0C"/>
    <w:rsid w:val="2C2F7266"/>
    <w:rsid w:val="2CB404AC"/>
    <w:rsid w:val="2CDF3794"/>
    <w:rsid w:val="2E852EAB"/>
    <w:rsid w:val="2FC63D74"/>
    <w:rsid w:val="30D0413E"/>
    <w:rsid w:val="31040C94"/>
    <w:rsid w:val="31F22A68"/>
    <w:rsid w:val="34272BB6"/>
    <w:rsid w:val="34D91454"/>
    <w:rsid w:val="35AC53AF"/>
    <w:rsid w:val="36692286"/>
    <w:rsid w:val="3AA96FAE"/>
    <w:rsid w:val="3E2C4BB7"/>
    <w:rsid w:val="3F664045"/>
    <w:rsid w:val="40012417"/>
    <w:rsid w:val="40D46D12"/>
    <w:rsid w:val="4172433C"/>
    <w:rsid w:val="417D3E89"/>
    <w:rsid w:val="419A0FA7"/>
    <w:rsid w:val="421C47E7"/>
    <w:rsid w:val="42B208A8"/>
    <w:rsid w:val="45960004"/>
    <w:rsid w:val="46F86693"/>
    <w:rsid w:val="47A37881"/>
    <w:rsid w:val="47F24951"/>
    <w:rsid w:val="481E5360"/>
    <w:rsid w:val="485C4F2C"/>
    <w:rsid w:val="489B4B75"/>
    <w:rsid w:val="49634BF7"/>
    <w:rsid w:val="4A1F5604"/>
    <w:rsid w:val="4D1B00DF"/>
    <w:rsid w:val="4FF57096"/>
    <w:rsid w:val="50E85F0B"/>
    <w:rsid w:val="52F3051F"/>
    <w:rsid w:val="53C91D89"/>
    <w:rsid w:val="54F21A55"/>
    <w:rsid w:val="55617B80"/>
    <w:rsid w:val="56173FB4"/>
    <w:rsid w:val="561D501A"/>
    <w:rsid w:val="56515FE9"/>
    <w:rsid w:val="5A447D2A"/>
    <w:rsid w:val="5A85646B"/>
    <w:rsid w:val="5B3F6E48"/>
    <w:rsid w:val="5CB3223D"/>
    <w:rsid w:val="5CEF488A"/>
    <w:rsid w:val="5E40418F"/>
    <w:rsid w:val="5F442227"/>
    <w:rsid w:val="5F672D7E"/>
    <w:rsid w:val="607F7AD3"/>
    <w:rsid w:val="623A7395"/>
    <w:rsid w:val="627438C2"/>
    <w:rsid w:val="63814B5D"/>
    <w:rsid w:val="680C7FB1"/>
    <w:rsid w:val="69403AAE"/>
    <w:rsid w:val="6A9B7D71"/>
    <w:rsid w:val="6AE954B5"/>
    <w:rsid w:val="6BA044C1"/>
    <w:rsid w:val="6BC8247B"/>
    <w:rsid w:val="6C775AF2"/>
    <w:rsid w:val="6E5E469C"/>
    <w:rsid w:val="6F0453DE"/>
    <w:rsid w:val="6F250725"/>
    <w:rsid w:val="6F395FEB"/>
    <w:rsid w:val="717766ED"/>
    <w:rsid w:val="72625B8C"/>
    <w:rsid w:val="73BB4BC8"/>
    <w:rsid w:val="74607426"/>
    <w:rsid w:val="74C13C0D"/>
    <w:rsid w:val="76C91732"/>
    <w:rsid w:val="77DD02F3"/>
    <w:rsid w:val="79562EED"/>
    <w:rsid w:val="7AC124B5"/>
    <w:rsid w:val="7AF9322A"/>
    <w:rsid w:val="7B161079"/>
    <w:rsid w:val="7B6660C0"/>
    <w:rsid w:val="7CAF0D43"/>
    <w:rsid w:val="7CC12FE9"/>
    <w:rsid w:val="7CED43DB"/>
    <w:rsid w:val="7D0A0C4E"/>
    <w:rsid w:val="7DBC3A33"/>
    <w:rsid w:val="7DFD69D9"/>
    <w:rsid w:val="7E6C177D"/>
    <w:rsid w:val="7F341EF2"/>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 Char Char Char Char Char Char1 Char"/>
    <w:basedOn w:val="1"/>
    <w:qFormat/>
    <w:uiPriority w:val="0"/>
    <w:rPr>
      <w:sz w:val="24"/>
      <w:szCs w:val="24"/>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1000</Words>
  <Characters>1073</Characters>
  <Lines>0</Lines>
  <Paragraphs>0</Paragraphs>
  <TotalTime>2</TotalTime>
  <ScaleCrop>false</ScaleCrop>
  <LinksUpToDate>false</LinksUpToDate>
  <CharactersWithSpaces>1124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2020-12-16T01:51:00Z</cp:lastPrinted>
  <dcterms:modified xsi:type="dcterms:W3CDTF">2022-12-29T09:31:08Z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676BB8C8E330493DB527A03640A94E19</vt:lpwstr>
  </property>
</Properties>
</file>