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2B" w:rsidRDefault="00E33715">
      <w:pPr>
        <w:keepNext/>
        <w:keepLines/>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Pr>
          <w:rFonts w:ascii="宋体" w:eastAsia="宋体" w:hAnsi="宋体" w:cs="微软雅黑" w:hint="eastAsia"/>
          <w:b/>
          <w:bCs/>
          <w:kern w:val="44"/>
          <w:sz w:val="30"/>
          <w:szCs w:val="30"/>
        </w:rPr>
        <w:t>DRG</w:t>
      </w:r>
      <w:r>
        <w:rPr>
          <w:rFonts w:ascii="宋体" w:eastAsia="宋体" w:hAnsi="宋体" w:cs="微软雅黑" w:hint="eastAsia"/>
          <w:b/>
          <w:bCs/>
          <w:kern w:val="44"/>
          <w:sz w:val="30"/>
          <w:szCs w:val="30"/>
        </w:rPr>
        <w:t>综合评价管理软件系统技术参数</w:t>
      </w:r>
    </w:p>
    <w:p w:rsidR="00B8642B" w:rsidRDefault="00B8642B">
      <w:pPr>
        <w:keepNext/>
        <w:keepLines/>
        <w:ind w:leftChars="200" w:left="420"/>
        <w:jc w:val="left"/>
        <w:rPr>
          <w:rFonts w:ascii="宋体" w:eastAsia="宋体" w:hAnsi="宋体" w:cs="微软雅黑"/>
          <w:b/>
          <w:bCs/>
          <w:kern w:val="44"/>
          <w:sz w:val="24"/>
          <w:szCs w:val="24"/>
        </w:rPr>
      </w:pPr>
    </w:p>
    <w:bookmarkEnd w:id="0"/>
    <w:p w:rsidR="00B8642B" w:rsidRDefault="00E33715">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B8642B" w:rsidRDefault="00E33715">
      <w:pPr>
        <w:spacing w:line="480" w:lineRule="auto"/>
        <w:ind w:firstLineChars="200" w:firstLine="480"/>
        <w:rPr>
          <w:rFonts w:ascii="宋体" w:eastAsia="宋体" w:hAnsi="宋体"/>
          <w:sz w:val="24"/>
          <w:szCs w:val="24"/>
        </w:rPr>
      </w:pPr>
      <w:r>
        <w:rPr>
          <w:rFonts w:ascii="宋体" w:eastAsia="宋体" w:hAnsi="宋体" w:hint="eastAsia"/>
          <w:sz w:val="24"/>
          <w:szCs w:val="24"/>
        </w:rPr>
        <w:t>柳州市</w:t>
      </w:r>
      <w:r>
        <w:rPr>
          <w:rFonts w:ascii="宋体" w:eastAsia="宋体" w:hAnsi="宋体" w:hint="eastAsia"/>
          <w:sz w:val="24"/>
          <w:szCs w:val="24"/>
        </w:rPr>
        <w:t>DRG</w:t>
      </w:r>
      <w:proofErr w:type="gramStart"/>
      <w:r>
        <w:rPr>
          <w:rFonts w:ascii="宋体" w:eastAsia="宋体" w:hAnsi="宋体" w:hint="eastAsia"/>
          <w:sz w:val="24"/>
          <w:szCs w:val="24"/>
        </w:rPr>
        <w:t>医</w:t>
      </w:r>
      <w:proofErr w:type="gramEnd"/>
      <w:r>
        <w:rPr>
          <w:rFonts w:ascii="宋体" w:eastAsia="宋体" w:hAnsi="宋体" w:hint="eastAsia"/>
          <w:sz w:val="24"/>
          <w:szCs w:val="24"/>
        </w:rPr>
        <w:t>保支付方式改革已经</w:t>
      </w:r>
      <w:r>
        <w:rPr>
          <w:rFonts w:ascii="宋体" w:eastAsia="宋体" w:hAnsi="宋体" w:hint="eastAsia"/>
          <w:sz w:val="24"/>
          <w:szCs w:val="24"/>
        </w:rPr>
        <w:t>5</w:t>
      </w:r>
      <w:r>
        <w:rPr>
          <w:rFonts w:ascii="宋体" w:eastAsia="宋体" w:hAnsi="宋体" w:hint="eastAsia"/>
          <w:sz w:val="24"/>
          <w:szCs w:val="24"/>
        </w:rPr>
        <w:t>年，目前我院仍然是等待</w:t>
      </w:r>
      <w:proofErr w:type="gramStart"/>
      <w:r>
        <w:rPr>
          <w:rFonts w:ascii="宋体" w:eastAsia="宋体" w:hAnsi="宋体" w:hint="eastAsia"/>
          <w:sz w:val="24"/>
          <w:szCs w:val="24"/>
        </w:rPr>
        <w:t>医</w:t>
      </w:r>
      <w:proofErr w:type="gramEnd"/>
      <w:r>
        <w:rPr>
          <w:rFonts w:ascii="宋体" w:eastAsia="宋体" w:hAnsi="宋体" w:hint="eastAsia"/>
          <w:sz w:val="24"/>
          <w:szCs w:val="24"/>
        </w:rPr>
        <w:t>保中心返回数据进行质控，管理上缺乏同步监管、高效获取数据信息的技术支持工具。建设医院综合管理评价服务体系有利手帮助医院构建一体化、全方位的医疗质量与运用管控体系，在保障医疗质量有效控制的基础上，通过信息化的服务手段防范</w:t>
      </w:r>
      <w:proofErr w:type="gramStart"/>
      <w:r>
        <w:rPr>
          <w:rFonts w:ascii="宋体" w:eastAsia="宋体" w:hAnsi="宋体" w:hint="eastAsia"/>
          <w:sz w:val="24"/>
          <w:szCs w:val="24"/>
        </w:rPr>
        <w:t>医</w:t>
      </w:r>
      <w:proofErr w:type="gramEnd"/>
      <w:r>
        <w:rPr>
          <w:rFonts w:ascii="宋体" w:eastAsia="宋体" w:hAnsi="宋体" w:hint="eastAsia"/>
          <w:sz w:val="24"/>
          <w:szCs w:val="24"/>
        </w:rPr>
        <w:t>保拒付或高于支付标准所造成医院无效成本增加的风险，有利于推动医院实施精益化成本核算与成本优化的管理体系，从而减少无效的医疗费用支出，通过精细</w:t>
      </w:r>
      <w:proofErr w:type="gramStart"/>
      <w:r>
        <w:rPr>
          <w:rFonts w:ascii="宋体" w:eastAsia="宋体" w:hAnsi="宋体" w:hint="eastAsia"/>
          <w:sz w:val="24"/>
          <w:szCs w:val="24"/>
        </w:rPr>
        <w:t>化运用</w:t>
      </w:r>
      <w:proofErr w:type="gramEnd"/>
      <w:r>
        <w:rPr>
          <w:rFonts w:ascii="宋体" w:eastAsia="宋体" w:hAnsi="宋体" w:hint="eastAsia"/>
          <w:sz w:val="24"/>
          <w:szCs w:val="24"/>
        </w:rPr>
        <w:t>管理带动效益提开与服务能力升级。</w:t>
      </w:r>
    </w:p>
    <w:p w:rsidR="00B8642B" w:rsidRDefault="00E33715">
      <w:pPr>
        <w:spacing w:line="480" w:lineRule="auto"/>
        <w:ind w:firstLineChars="200" w:firstLine="480"/>
        <w:rPr>
          <w:rFonts w:ascii="宋体" w:eastAsia="宋体" w:hAnsi="宋体"/>
          <w:sz w:val="24"/>
          <w:szCs w:val="24"/>
        </w:rPr>
      </w:pPr>
      <w:r>
        <w:rPr>
          <w:rFonts w:ascii="宋体" w:eastAsia="宋体" w:hAnsi="宋体" w:hint="eastAsia"/>
          <w:sz w:val="24"/>
          <w:szCs w:val="24"/>
        </w:rPr>
        <w:t>目前我院</w:t>
      </w:r>
      <w:proofErr w:type="gramStart"/>
      <w:r>
        <w:rPr>
          <w:rFonts w:ascii="宋体" w:eastAsia="宋体" w:hAnsi="宋体" w:hint="eastAsia"/>
          <w:sz w:val="24"/>
          <w:szCs w:val="24"/>
        </w:rPr>
        <w:t>医</w:t>
      </w:r>
      <w:proofErr w:type="gramEnd"/>
      <w:r>
        <w:rPr>
          <w:rFonts w:ascii="宋体" w:eastAsia="宋体" w:hAnsi="宋体" w:hint="eastAsia"/>
          <w:sz w:val="24"/>
          <w:szCs w:val="24"/>
        </w:rPr>
        <w:t>保管理信息化程度较低，</w:t>
      </w:r>
      <w:r>
        <w:rPr>
          <w:rFonts w:ascii="宋体" w:eastAsia="宋体" w:hAnsi="宋体" w:hint="eastAsia"/>
          <w:sz w:val="24"/>
          <w:szCs w:val="24"/>
        </w:rPr>
        <w:t>DRG</w:t>
      </w:r>
      <w:r>
        <w:rPr>
          <w:rFonts w:ascii="宋体" w:eastAsia="宋体" w:hAnsi="宋体" w:hint="eastAsia"/>
          <w:sz w:val="24"/>
          <w:szCs w:val="24"/>
        </w:rPr>
        <w:t>数据指导和分析仍</w:t>
      </w:r>
      <w:r>
        <w:rPr>
          <w:rFonts w:ascii="宋体" w:eastAsia="宋体" w:hAnsi="宋体" w:hint="eastAsia"/>
          <w:sz w:val="24"/>
          <w:szCs w:val="24"/>
        </w:rPr>
        <w:t>使用历史数据，无法做到事前事中事后全流程管理，且无法为医院运营提供实时</w:t>
      </w:r>
      <w:proofErr w:type="gramStart"/>
      <w:r>
        <w:rPr>
          <w:rFonts w:ascii="宋体" w:eastAsia="宋体" w:hAnsi="宋体" w:hint="eastAsia"/>
          <w:sz w:val="24"/>
          <w:szCs w:val="24"/>
        </w:rPr>
        <w:t>医保数据</w:t>
      </w:r>
      <w:proofErr w:type="gramEnd"/>
      <w:r>
        <w:rPr>
          <w:rFonts w:ascii="宋体" w:eastAsia="宋体" w:hAnsi="宋体" w:hint="eastAsia"/>
          <w:sz w:val="24"/>
          <w:szCs w:val="24"/>
        </w:rPr>
        <w:t>支撑。故需购买</w:t>
      </w:r>
      <w:r>
        <w:rPr>
          <w:rFonts w:ascii="宋体" w:eastAsia="宋体" w:hAnsi="宋体" w:hint="eastAsia"/>
          <w:sz w:val="24"/>
          <w:szCs w:val="24"/>
        </w:rPr>
        <w:t xml:space="preserve">DRG </w:t>
      </w:r>
      <w:r>
        <w:rPr>
          <w:rFonts w:ascii="宋体" w:eastAsia="宋体" w:hAnsi="宋体" w:hint="eastAsia"/>
          <w:sz w:val="24"/>
          <w:szCs w:val="24"/>
        </w:rPr>
        <w:t>综合评价管理软件系统，以提高管理效率，促进</w:t>
      </w:r>
      <w:proofErr w:type="gramStart"/>
      <w:r>
        <w:rPr>
          <w:rFonts w:ascii="宋体" w:eastAsia="宋体" w:hAnsi="宋体" w:hint="eastAsia"/>
          <w:sz w:val="24"/>
          <w:szCs w:val="24"/>
        </w:rPr>
        <w:t>医保管理更规范化</w:t>
      </w:r>
      <w:proofErr w:type="gramEnd"/>
      <w:r>
        <w:rPr>
          <w:rFonts w:ascii="宋体" w:eastAsia="宋体" w:hAnsi="宋体" w:hint="eastAsia"/>
          <w:sz w:val="24"/>
          <w:szCs w:val="24"/>
        </w:rPr>
        <w:t>、科学化和精细化，为我院高质量发展保驾护航。</w:t>
      </w:r>
    </w:p>
    <w:p w:rsidR="00B8642B" w:rsidRDefault="00B8642B">
      <w:pPr>
        <w:pStyle w:val="a0"/>
        <w:rPr>
          <w:lang w:val="en-US"/>
        </w:rPr>
      </w:pPr>
    </w:p>
    <w:p w:rsidR="00B8642B" w:rsidRDefault="00E33715">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项目建设内容及要求</w:t>
      </w:r>
    </w:p>
    <w:tbl>
      <w:tblPr>
        <w:tblStyle w:val="aa"/>
        <w:tblW w:w="9806" w:type="dxa"/>
        <w:jc w:val="center"/>
        <w:tblLayout w:type="fixed"/>
        <w:tblLook w:val="04A0" w:firstRow="1" w:lastRow="0" w:firstColumn="1" w:lastColumn="0" w:noHBand="0" w:noVBand="1"/>
      </w:tblPr>
      <w:tblGrid>
        <w:gridCol w:w="378"/>
        <w:gridCol w:w="926"/>
        <w:gridCol w:w="1190"/>
        <w:gridCol w:w="1099"/>
        <w:gridCol w:w="6213"/>
      </w:tblGrid>
      <w:tr w:rsidR="00B8642B">
        <w:trPr>
          <w:cantSplit/>
          <w:jc w:val="center"/>
        </w:trPr>
        <w:tc>
          <w:tcPr>
            <w:tcW w:w="378" w:type="dxa"/>
          </w:tcPr>
          <w:p w:rsidR="00B8642B" w:rsidRDefault="00E33715">
            <w:pPr>
              <w:spacing w:line="312" w:lineRule="auto"/>
              <w:jc w:val="center"/>
              <w:rPr>
                <w:rFonts w:ascii="宋体" w:eastAsia="宋体" w:hAnsi="宋体"/>
              </w:rPr>
            </w:pPr>
            <w:r>
              <w:rPr>
                <w:rFonts w:ascii="宋体" w:eastAsia="宋体" w:hAnsi="宋体" w:hint="eastAsia"/>
              </w:rPr>
              <w:t>序号</w:t>
            </w:r>
          </w:p>
        </w:tc>
        <w:tc>
          <w:tcPr>
            <w:tcW w:w="926" w:type="dxa"/>
          </w:tcPr>
          <w:p w:rsidR="00B8642B" w:rsidRDefault="00E33715">
            <w:pPr>
              <w:spacing w:line="312" w:lineRule="auto"/>
              <w:jc w:val="center"/>
              <w:rPr>
                <w:rFonts w:ascii="宋体" w:eastAsia="宋体" w:hAnsi="宋体"/>
              </w:rPr>
            </w:pPr>
            <w:r>
              <w:rPr>
                <w:rFonts w:ascii="宋体" w:eastAsia="宋体" w:hAnsi="宋体" w:hint="eastAsia"/>
              </w:rPr>
              <w:t>模块</w:t>
            </w:r>
          </w:p>
        </w:tc>
        <w:tc>
          <w:tcPr>
            <w:tcW w:w="1190" w:type="dxa"/>
          </w:tcPr>
          <w:p w:rsidR="00B8642B" w:rsidRDefault="00E33715">
            <w:pPr>
              <w:spacing w:line="312" w:lineRule="auto"/>
              <w:jc w:val="center"/>
              <w:rPr>
                <w:rFonts w:ascii="宋体" w:eastAsia="宋体" w:hAnsi="宋体"/>
              </w:rPr>
            </w:pPr>
            <w:r>
              <w:rPr>
                <w:rFonts w:ascii="宋体" w:eastAsia="宋体" w:hAnsi="宋体" w:hint="eastAsia"/>
              </w:rPr>
              <w:t>子模块</w:t>
            </w:r>
          </w:p>
        </w:tc>
        <w:tc>
          <w:tcPr>
            <w:tcW w:w="1099" w:type="dxa"/>
          </w:tcPr>
          <w:p w:rsidR="00B8642B" w:rsidRDefault="00E33715">
            <w:pPr>
              <w:spacing w:line="312" w:lineRule="auto"/>
              <w:jc w:val="center"/>
              <w:rPr>
                <w:rFonts w:ascii="宋体" w:eastAsia="宋体" w:hAnsi="宋体"/>
              </w:rPr>
            </w:pPr>
            <w:r>
              <w:rPr>
                <w:rFonts w:ascii="宋体" w:eastAsia="宋体" w:hAnsi="宋体" w:hint="eastAsia"/>
              </w:rPr>
              <w:t>功能</w:t>
            </w:r>
          </w:p>
        </w:tc>
        <w:tc>
          <w:tcPr>
            <w:tcW w:w="6213" w:type="dxa"/>
          </w:tcPr>
          <w:p w:rsidR="00B8642B" w:rsidRDefault="00E33715">
            <w:pPr>
              <w:spacing w:line="312" w:lineRule="auto"/>
              <w:jc w:val="center"/>
              <w:rPr>
                <w:rFonts w:ascii="宋体" w:eastAsia="宋体" w:hAnsi="宋体"/>
              </w:rPr>
            </w:pPr>
            <w:r>
              <w:rPr>
                <w:rFonts w:ascii="宋体" w:eastAsia="宋体" w:hAnsi="宋体" w:hint="eastAsia"/>
              </w:rPr>
              <w:t>内涵描述</w:t>
            </w:r>
          </w:p>
        </w:tc>
      </w:tr>
      <w:tr w:rsidR="00B8642B">
        <w:trPr>
          <w:cantSplit/>
          <w:jc w:val="center"/>
        </w:trPr>
        <w:tc>
          <w:tcPr>
            <w:tcW w:w="378"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1</w:t>
            </w:r>
          </w:p>
        </w:tc>
        <w:tc>
          <w:tcPr>
            <w:tcW w:w="926"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DRG</w:t>
            </w:r>
            <w:r>
              <w:rPr>
                <w:rFonts w:ascii="宋体" w:eastAsia="宋体" w:hAnsi="宋体" w:hint="eastAsia"/>
              </w:rPr>
              <w:t>分组智能检测预警模块</w:t>
            </w: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在院病例</w:t>
            </w:r>
            <w:r>
              <w:rPr>
                <w:rFonts w:ascii="宋体" w:eastAsia="宋体" w:hAnsi="宋体" w:hint="eastAsia"/>
              </w:rPr>
              <w:t>DRG</w:t>
            </w:r>
            <w:r>
              <w:rPr>
                <w:rFonts w:ascii="宋体" w:eastAsia="宋体" w:hAnsi="宋体" w:hint="eastAsia"/>
              </w:rPr>
              <w:t>分组预测预警</w:t>
            </w:r>
          </w:p>
        </w:tc>
        <w:tc>
          <w:tcPr>
            <w:tcW w:w="1099" w:type="dxa"/>
            <w:vAlign w:val="center"/>
          </w:tcPr>
          <w:p w:rsidR="00B8642B" w:rsidRDefault="00E33715">
            <w:pPr>
              <w:spacing w:line="312" w:lineRule="auto"/>
              <w:jc w:val="left"/>
              <w:rPr>
                <w:rFonts w:ascii="宋体" w:eastAsia="宋体" w:hAnsi="宋体"/>
              </w:rPr>
            </w:pPr>
            <w:r>
              <w:rPr>
                <w:rFonts w:hint="eastAsia"/>
                <w:lang w:eastAsia="zh-Hans"/>
              </w:rPr>
              <w:t>病案信息查询</w:t>
            </w:r>
          </w:p>
        </w:tc>
        <w:tc>
          <w:tcPr>
            <w:tcW w:w="6213" w:type="dxa"/>
          </w:tcPr>
          <w:p w:rsidR="00B8642B" w:rsidRDefault="00E33715">
            <w:pPr>
              <w:spacing w:line="312" w:lineRule="auto"/>
              <w:jc w:val="left"/>
              <w:rPr>
                <w:rFonts w:ascii="宋体" w:eastAsia="宋体" w:hAnsi="宋体"/>
              </w:rPr>
            </w:pPr>
            <w:r>
              <w:rPr>
                <w:rFonts w:hint="eastAsia"/>
                <w:lang w:eastAsia="zh-Hans"/>
              </w:rPr>
              <w:t>病案信息体现在院病例的主要诊疗信息，对明细费用大类实时费用汇总及占比查询，展现明细分析详情，及时追溯超支科室或医师，并提供病例预警值结果。</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实时动态分组</w:t>
            </w:r>
          </w:p>
        </w:tc>
        <w:tc>
          <w:tcPr>
            <w:tcW w:w="6213" w:type="dxa"/>
          </w:tcPr>
          <w:p w:rsidR="00B8642B" w:rsidRDefault="00E33715">
            <w:pPr>
              <w:spacing w:line="312" w:lineRule="auto"/>
              <w:jc w:val="left"/>
              <w:rPr>
                <w:lang w:eastAsia="zh-Hans"/>
              </w:rPr>
            </w:pPr>
            <w:r>
              <w:rPr>
                <w:rFonts w:hint="eastAsia"/>
                <w:lang w:eastAsia="zh-Hans"/>
              </w:rPr>
              <w:t>根据住院的诊疗信息预测分组结果，并建立本地政策规则，应用算法实现模拟分配，形成分组和风险预警机制，通过数据可视化实现精细化管理。</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目标预测分组</w:t>
            </w:r>
          </w:p>
        </w:tc>
        <w:tc>
          <w:tcPr>
            <w:tcW w:w="6213" w:type="dxa"/>
          </w:tcPr>
          <w:p w:rsidR="00B8642B" w:rsidRDefault="00E33715">
            <w:pPr>
              <w:spacing w:line="312" w:lineRule="auto"/>
              <w:jc w:val="left"/>
              <w:rPr>
                <w:lang w:eastAsia="zh-Hans"/>
              </w:rPr>
            </w:pPr>
            <w:r>
              <w:rPr>
                <w:rFonts w:hint="eastAsia"/>
                <w:lang w:eastAsia="zh-Hans"/>
              </w:rPr>
              <w:t>医生可通过临床经验，精准检索定位</w:t>
            </w:r>
            <w:r>
              <w:rPr>
                <w:rFonts w:hint="eastAsia"/>
                <w:lang w:eastAsia="zh-Hans"/>
              </w:rPr>
              <w:t>DRG</w:t>
            </w:r>
            <w:r>
              <w:rPr>
                <w:rFonts w:hint="eastAsia"/>
                <w:lang w:eastAsia="zh-Hans"/>
              </w:rPr>
              <w:t>编码和</w:t>
            </w:r>
            <w:r>
              <w:rPr>
                <w:rFonts w:hint="eastAsia"/>
                <w:lang w:eastAsia="zh-Hans"/>
              </w:rPr>
              <w:t>DRG</w:t>
            </w:r>
            <w:r>
              <w:rPr>
                <w:rFonts w:hint="eastAsia"/>
                <w:lang w:eastAsia="zh-Hans"/>
              </w:rPr>
              <w:t>名称，查看指定</w:t>
            </w:r>
            <w:r>
              <w:rPr>
                <w:rFonts w:hint="eastAsia"/>
                <w:lang w:eastAsia="zh-Hans"/>
              </w:rPr>
              <w:t>DRG</w:t>
            </w:r>
            <w:r>
              <w:rPr>
                <w:rFonts w:hint="eastAsia"/>
                <w:lang w:eastAsia="zh-Hans"/>
              </w:rPr>
              <w:t>分组所对应的标杆参考信息及模拟结算结果，与预测分组进行补充或对比。</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大数据相似入组</w:t>
            </w:r>
          </w:p>
        </w:tc>
        <w:tc>
          <w:tcPr>
            <w:tcW w:w="6213" w:type="dxa"/>
          </w:tcPr>
          <w:p w:rsidR="00B8642B" w:rsidRDefault="00E33715">
            <w:pPr>
              <w:spacing w:line="312" w:lineRule="auto"/>
              <w:jc w:val="left"/>
              <w:rPr>
                <w:lang w:eastAsia="zh-Hans"/>
              </w:rPr>
            </w:pPr>
            <w:r>
              <w:rPr>
                <w:rFonts w:hint="eastAsia"/>
                <w:lang w:eastAsia="zh-Hans"/>
              </w:rPr>
              <w:t>列出现有诊疗信息下所有可能的入组结果（含未发生主手术时的所有手术操作入组结果）及主要的标杆值信息，并能够与</w:t>
            </w:r>
            <w:r>
              <w:rPr>
                <w:rFonts w:hint="eastAsia"/>
                <w:lang w:eastAsia="zh-Hans"/>
              </w:rPr>
              <w:t>DRG</w:t>
            </w:r>
            <w:r>
              <w:rPr>
                <w:rFonts w:hint="eastAsia"/>
                <w:lang w:eastAsia="zh-Hans"/>
              </w:rPr>
              <w:t>目标预测分组功能关联应用。</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大数据模拟分组</w:t>
            </w:r>
          </w:p>
        </w:tc>
        <w:tc>
          <w:tcPr>
            <w:tcW w:w="1099" w:type="dxa"/>
            <w:vAlign w:val="center"/>
          </w:tcPr>
          <w:p w:rsidR="00B8642B" w:rsidRDefault="00E33715">
            <w:pPr>
              <w:spacing w:line="312" w:lineRule="auto"/>
              <w:jc w:val="left"/>
              <w:rPr>
                <w:rFonts w:ascii="宋体" w:eastAsia="宋体" w:hAnsi="宋体"/>
              </w:rPr>
            </w:pPr>
            <w:r>
              <w:rPr>
                <w:rFonts w:hint="eastAsia"/>
                <w:lang w:eastAsia="zh-Hans"/>
              </w:rPr>
              <w:t>病案信息设置</w:t>
            </w:r>
          </w:p>
        </w:tc>
        <w:tc>
          <w:tcPr>
            <w:tcW w:w="6213" w:type="dxa"/>
          </w:tcPr>
          <w:p w:rsidR="00B8642B" w:rsidRDefault="00E33715">
            <w:pPr>
              <w:spacing w:line="312" w:lineRule="auto"/>
              <w:jc w:val="left"/>
              <w:rPr>
                <w:rFonts w:ascii="宋体" w:eastAsia="宋体" w:hAnsi="宋体"/>
              </w:rPr>
            </w:pPr>
            <w:r>
              <w:rPr>
                <w:rFonts w:hint="eastAsia"/>
                <w:lang w:eastAsia="zh-Hans"/>
              </w:rPr>
              <w:t>含一键导入单条在院病例信息功能，并提供增加或修改病案信息权限。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rFonts w:ascii="宋体" w:eastAsia="宋体" w:hAnsi="宋体"/>
              </w:rPr>
            </w:pPr>
            <w:r>
              <w:rPr>
                <w:rFonts w:hint="eastAsia"/>
                <w:lang w:eastAsia="zh-Hans"/>
              </w:rPr>
              <w:t>大数据入组分析</w:t>
            </w:r>
          </w:p>
        </w:tc>
        <w:tc>
          <w:tcPr>
            <w:tcW w:w="6213" w:type="dxa"/>
          </w:tcPr>
          <w:p w:rsidR="00B8642B" w:rsidRDefault="00E33715">
            <w:pPr>
              <w:spacing w:line="312" w:lineRule="auto"/>
              <w:jc w:val="left"/>
              <w:rPr>
                <w:rFonts w:ascii="宋体" w:eastAsia="宋体" w:hAnsi="宋体"/>
              </w:rPr>
            </w:pPr>
            <w:r>
              <w:rPr>
                <w:rFonts w:hint="eastAsia"/>
                <w:lang w:eastAsia="zh-Hans"/>
              </w:rPr>
              <w:t>对模拟数据进行大数据模拟入组分析，并提供推荐入组及各项分组结果的主要标杆参考信息。</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Align w:val="center"/>
          </w:tcPr>
          <w:p w:rsidR="00B8642B" w:rsidRDefault="00E33715">
            <w:pPr>
              <w:spacing w:line="312" w:lineRule="auto"/>
              <w:jc w:val="center"/>
              <w:rPr>
                <w:rFonts w:ascii="宋体" w:eastAsia="宋体" w:hAnsi="宋体"/>
              </w:rPr>
            </w:pPr>
            <w:r>
              <w:rPr>
                <w:rFonts w:ascii="宋体" w:eastAsia="宋体" w:hAnsi="宋体" w:hint="eastAsia"/>
              </w:rPr>
              <w:t>同病组对比分析</w:t>
            </w:r>
          </w:p>
        </w:tc>
        <w:tc>
          <w:tcPr>
            <w:tcW w:w="1099" w:type="dxa"/>
            <w:vAlign w:val="center"/>
          </w:tcPr>
          <w:p w:rsidR="00B8642B" w:rsidRDefault="00E33715">
            <w:pPr>
              <w:spacing w:line="312" w:lineRule="auto"/>
              <w:jc w:val="left"/>
              <w:rPr>
                <w:lang w:eastAsia="zh-Hans"/>
              </w:rPr>
            </w:pPr>
            <w:r>
              <w:rPr>
                <w:rFonts w:hint="eastAsia"/>
                <w:lang w:eastAsia="zh-Hans"/>
              </w:rPr>
              <w:t>出院病例数据分析</w:t>
            </w:r>
          </w:p>
        </w:tc>
        <w:tc>
          <w:tcPr>
            <w:tcW w:w="6213" w:type="dxa"/>
          </w:tcPr>
          <w:p w:rsidR="00B8642B" w:rsidRDefault="00E33715">
            <w:pPr>
              <w:spacing w:line="360" w:lineRule="auto"/>
              <w:rPr>
                <w:lang w:eastAsia="zh-Hans"/>
              </w:rPr>
            </w:pPr>
            <w:r>
              <w:rPr>
                <w:rFonts w:hint="eastAsia"/>
                <w:lang w:eastAsia="zh-Hans"/>
              </w:rPr>
              <w:t>与实时动态分组结果联动，展示相同病组下出院病例的总体结算差异分析及时间序列趋势分析。</w:t>
            </w:r>
          </w:p>
        </w:tc>
      </w:tr>
      <w:tr w:rsidR="00B8642B">
        <w:trPr>
          <w:cantSplit/>
          <w:trHeight w:val="717"/>
          <w:jc w:val="center"/>
        </w:trPr>
        <w:tc>
          <w:tcPr>
            <w:tcW w:w="378"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2</w:t>
            </w:r>
          </w:p>
        </w:tc>
        <w:tc>
          <w:tcPr>
            <w:tcW w:w="926"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DRG</w:t>
            </w:r>
            <w:r>
              <w:rPr>
                <w:rFonts w:ascii="宋体" w:eastAsia="宋体" w:hAnsi="宋体" w:hint="eastAsia"/>
              </w:rPr>
              <w:t>医院智能管理模块</w:t>
            </w:r>
          </w:p>
        </w:tc>
        <w:tc>
          <w:tcPr>
            <w:tcW w:w="1190" w:type="dxa"/>
            <w:vAlign w:val="center"/>
          </w:tcPr>
          <w:p w:rsidR="00B8642B" w:rsidRDefault="00E33715">
            <w:pPr>
              <w:spacing w:line="312" w:lineRule="auto"/>
              <w:jc w:val="center"/>
              <w:rPr>
                <w:rFonts w:ascii="宋体" w:eastAsia="宋体" w:hAnsi="宋体"/>
              </w:rPr>
            </w:pPr>
            <w:r>
              <w:rPr>
                <w:rFonts w:ascii="宋体" w:eastAsia="宋体" w:hAnsi="宋体" w:hint="eastAsia"/>
              </w:rPr>
              <w:t>全局监控分析</w:t>
            </w:r>
          </w:p>
        </w:tc>
        <w:tc>
          <w:tcPr>
            <w:tcW w:w="1099" w:type="dxa"/>
            <w:vAlign w:val="center"/>
          </w:tcPr>
          <w:p w:rsidR="00B8642B" w:rsidRDefault="00E33715">
            <w:pPr>
              <w:spacing w:line="312" w:lineRule="auto"/>
              <w:jc w:val="left"/>
              <w:rPr>
                <w:rFonts w:ascii="宋体" w:eastAsia="宋体" w:hAnsi="宋体"/>
              </w:rPr>
            </w:pPr>
            <w:r>
              <w:rPr>
                <w:rFonts w:ascii="宋体" w:eastAsia="宋体" w:hAnsi="宋体" w:hint="eastAsia"/>
              </w:rPr>
              <w:t>全局监控分析</w:t>
            </w:r>
          </w:p>
        </w:tc>
        <w:tc>
          <w:tcPr>
            <w:tcW w:w="6213" w:type="dxa"/>
            <w:vAlign w:val="center"/>
          </w:tcPr>
          <w:p w:rsidR="00B8642B" w:rsidRDefault="00E33715">
            <w:pPr>
              <w:spacing w:line="312" w:lineRule="auto"/>
              <w:jc w:val="left"/>
              <w:rPr>
                <w:rFonts w:ascii="宋体" w:eastAsia="宋体" w:hAnsi="宋体"/>
              </w:rPr>
            </w:pPr>
            <w:r>
              <w:rPr>
                <w:rFonts w:hint="eastAsia"/>
                <w:lang w:eastAsia="zh-Hans"/>
              </w:rPr>
              <w:t>对系统各个子系统重点指标及维度进行综合展示，快速定位分组效能、结算差异、费用差异结构主因、监控预警、绩效评价及分配等关键。综合性多规则判定，智能提醒；重点问题实时追踪，交互操作。</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 xml:space="preserve">DRG </w:t>
            </w:r>
            <w:r>
              <w:rPr>
                <w:rFonts w:ascii="宋体" w:eastAsia="宋体" w:hAnsi="宋体" w:hint="eastAsia"/>
              </w:rPr>
              <w:t>结算差异分析</w:t>
            </w:r>
          </w:p>
        </w:tc>
        <w:tc>
          <w:tcPr>
            <w:tcW w:w="1099" w:type="dxa"/>
            <w:vAlign w:val="center"/>
          </w:tcPr>
          <w:p w:rsidR="00B8642B" w:rsidRDefault="00E33715">
            <w:pPr>
              <w:spacing w:line="312" w:lineRule="auto"/>
              <w:jc w:val="left"/>
              <w:rPr>
                <w:lang w:eastAsia="zh-Hans"/>
              </w:rPr>
            </w:pPr>
            <w:r>
              <w:rPr>
                <w:rFonts w:hint="eastAsia"/>
                <w:lang w:eastAsia="zh-Hans"/>
              </w:rPr>
              <w:t>总体汇总分析</w:t>
            </w:r>
          </w:p>
        </w:tc>
        <w:tc>
          <w:tcPr>
            <w:tcW w:w="6213" w:type="dxa"/>
            <w:vAlign w:val="center"/>
          </w:tcPr>
          <w:p w:rsidR="00B8642B" w:rsidRDefault="00E33715">
            <w:pPr>
              <w:spacing w:line="312" w:lineRule="auto"/>
              <w:jc w:val="left"/>
              <w:rPr>
                <w:rFonts w:ascii="宋体" w:eastAsia="宋体" w:hAnsi="宋体"/>
              </w:rPr>
            </w:pPr>
            <w:r>
              <w:rPr>
                <w:rFonts w:hint="eastAsia"/>
                <w:lang w:eastAsia="zh-Hans"/>
              </w:rPr>
              <w:t>整体超支结余走势分析、基金类型超支结余走势分析、差异分类、差异主因分析、差异贡献率分析。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统筹地区分析</w:t>
            </w:r>
          </w:p>
        </w:tc>
        <w:tc>
          <w:tcPr>
            <w:tcW w:w="6213" w:type="dxa"/>
            <w:vAlign w:val="center"/>
          </w:tcPr>
          <w:p w:rsidR="00B8642B" w:rsidRDefault="00E33715">
            <w:pPr>
              <w:spacing w:line="312" w:lineRule="auto"/>
              <w:jc w:val="left"/>
              <w:rPr>
                <w:lang w:eastAsia="zh-Hans"/>
              </w:rPr>
            </w:pPr>
            <w:r>
              <w:rPr>
                <w:rFonts w:hint="eastAsia"/>
                <w:lang w:eastAsia="zh-Hans"/>
              </w:rPr>
              <w:t>统筹地区差异分类、差异主因分析、差异贡献率分析、时间序列趋势分析。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科室数据分析</w:t>
            </w:r>
          </w:p>
        </w:tc>
        <w:tc>
          <w:tcPr>
            <w:tcW w:w="6213" w:type="dxa"/>
            <w:vAlign w:val="center"/>
          </w:tcPr>
          <w:p w:rsidR="00B8642B" w:rsidRDefault="00E33715">
            <w:pPr>
              <w:spacing w:line="312" w:lineRule="auto"/>
              <w:jc w:val="left"/>
              <w:rPr>
                <w:lang w:eastAsia="zh-Hans"/>
              </w:rPr>
            </w:pPr>
            <w:r>
              <w:rPr>
                <w:rFonts w:hint="eastAsia"/>
                <w:lang w:eastAsia="zh-Hans"/>
              </w:rPr>
              <w:t>科室差异贡献率分析、科室结余超支、科室差异主因分析、时间序列趋势分析。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主诊组数据分析</w:t>
            </w:r>
          </w:p>
        </w:tc>
        <w:tc>
          <w:tcPr>
            <w:tcW w:w="6213" w:type="dxa"/>
            <w:vAlign w:val="center"/>
          </w:tcPr>
          <w:p w:rsidR="00B8642B" w:rsidRDefault="00E33715">
            <w:pPr>
              <w:spacing w:line="312" w:lineRule="auto"/>
              <w:jc w:val="left"/>
              <w:rPr>
                <w:lang w:eastAsia="zh-Hans"/>
              </w:rPr>
            </w:pPr>
            <w:r>
              <w:rPr>
                <w:rFonts w:hint="eastAsia"/>
                <w:lang w:eastAsia="zh-Hans"/>
              </w:rPr>
              <w:t>展示主诊组的结余超支占比、各主诊组下的时间序列结算差异及比例，超支结余主因追踪挖掘。</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责任医生数据分析</w:t>
            </w:r>
          </w:p>
        </w:tc>
        <w:tc>
          <w:tcPr>
            <w:tcW w:w="6213" w:type="dxa"/>
            <w:vAlign w:val="center"/>
          </w:tcPr>
          <w:p w:rsidR="00B8642B" w:rsidRDefault="00E33715">
            <w:pPr>
              <w:spacing w:line="312" w:lineRule="auto"/>
              <w:jc w:val="left"/>
              <w:rPr>
                <w:lang w:eastAsia="zh-Hans"/>
              </w:rPr>
            </w:pPr>
            <w:r>
              <w:rPr>
                <w:rFonts w:hint="eastAsia"/>
                <w:lang w:eastAsia="zh-Hans"/>
              </w:rPr>
              <w:t>展示责任医生结余超支占比、各责任医生的超支结余情况、差异主因汇总以及时间序列结算差异及比例。</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病例类型分析</w:t>
            </w:r>
          </w:p>
        </w:tc>
        <w:tc>
          <w:tcPr>
            <w:tcW w:w="6213" w:type="dxa"/>
            <w:vAlign w:val="center"/>
          </w:tcPr>
          <w:p w:rsidR="00B8642B" w:rsidRDefault="00E33715">
            <w:pPr>
              <w:spacing w:line="312" w:lineRule="auto"/>
              <w:jc w:val="left"/>
              <w:rPr>
                <w:lang w:eastAsia="zh-Hans"/>
              </w:rPr>
            </w:pPr>
            <w:r>
              <w:rPr>
                <w:rFonts w:hint="eastAsia"/>
                <w:lang w:eastAsia="zh-Hans"/>
              </w:rPr>
              <w:t>高低倍率的病例数和占比的趋势、各类病例的差异贡献度分析、不同倍率区间的病例数占比发展情况。</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病组分析</w:t>
            </w:r>
          </w:p>
        </w:tc>
        <w:tc>
          <w:tcPr>
            <w:tcW w:w="6213" w:type="dxa"/>
            <w:vAlign w:val="center"/>
          </w:tcPr>
          <w:p w:rsidR="00B8642B" w:rsidRDefault="00E33715">
            <w:pPr>
              <w:spacing w:line="312" w:lineRule="auto"/>
              <w:jc w:val="left"/>
              <w:rPr>
                <w:lang w:eastAsia="zh-Hans"/>
              </w:rPr>
            </w:pPr>
            <w:r>
              <w:rPr>
                <w:rFonts w:hint="eastAsia"/>
                <w:lang w:eastAsia="zh-Hans"/>
              </w:rPr>
              <w:t>不同层级下的结余超支情况、各病组的的结余超支主因、统筹地区、科室、主诊组、责任医生结算差异对比、总费用对比、次均费用对比、病例类型对比、费用结构差异主因对比。</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MDC</w:t>
            </w:r>
            <w:r>
              <w:rPr>
                <w:rFonts w:hint="eastAsia"/>
                <w:lang w:eastAsia="zh-Hans"/>
              </w:rPr>
              <w:t>挖掘</w:t>
            </w:r>
          </w:p>
        </w:tc>
        <w:tc>
          <w:tcPr>
            <w:tcW w:w="6213" w:type="dxa"/>
            <w:vAlign w:val="center"/>
          </w:tcPr>
          <w:p w:rsidR="00B8642B" w:rsidRDefault="00E33715">
            <w:pPr>
              <w:spacing w:line="312" w:lineRule="auto"/>
              <w:jc w:val="left"/>
              <w:rPr>
                <w:lang w:eastAsia="zh-Hans"/>
              </w:rPr>
            </w:pPr>
            <w:r>
              <w:rPr>
                <w:rFonts w:hint="eastAsia"/>
                <w:lang w:eastAsia="zh-Hans"/>
              </w:rPr>
              <w:t>重点</w:t>
            </w:r>
            <w:r>
              <w:rPr>
                <w:rFonts w:hint="eastAsia"/>
                <w:lang w:eastAsia="zh-Hans"/>
              </w:rPr>
              <w:t>MDC</w:t>
            </w:r>
            <w:r>
              <w:rPr>
                <w:rFonts w:hint="eastAsia"/>
                <w:lang w:eastAsia="zh-Hans"/>
              </w:rPr>
              <w:t>识别、</w:t>
            </w:r>
            <w:r>
              <w:rPr>
                <w:rFonts w:hint="eastAsia"/>
                <w:lang w:eastAsia="zh-Hans"/>
              </w:rPr>
              <w:t>MDC</w:t>
            </w:r>
            <w:r>
              <w:rPr>
                <w:rFonts w:hint="eastAsia"/>
                <w:lang w:eastAsia="zh-Hans"/>
              </w:rPr>
              <w:t>结算差异贡献度分析，</w:t>
            </w:r>
            <w:r>
              <w:rPr>
                <w:rFonts w:hint="eastAsia"/>
                <w:lang w:eastAsia="zh-Hans"/>
              </w:rPr>
              <w:t>MDC</w:t>
            </w:r>
            <w:r>
              <w:rPr>
                <w:rFonts w:hint="eastAsia"/>
                <w:lang w:eastAsia="zh-Hans"/>
              </w:rPr>
              <w:t>结算差异及比例分析、</w:t>
            </w:r>
            <w:r>
              <w:rPr>
                <w:rFonts w:hint="eastAsia"/>
                <w:lang w:eastAsia="zh-Hans"/>
              </w:rPr>
              <w:t>MDC</w:t>
            </w:r>
            <w:r>
              <w:rPr>
                <w:rFonts w:hint="eastAsia"/>
                <w:lang w:eastAsia="zh-Hans"/>
              </w:rPr>
              <w:t>横向对比分析。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ADRG</w:t>
            </w:r>
            <w:r>
              <w:rPr>
                <w:rFonts w:hint="eastAsia"/>
                <w:lang w:eastAsia="zh-Hans"/>
              </w:rPr>
              <w:t>挖掘</w:t>
            </w:r>
          </w:p>
        </w:tc>
        <w:tc>
          <w:tcPr>
            <w:tcW w:w="6213" w:type="dxa"/>
            <w:vAlign w:val="center"/>
          </w:tcPr>
          <w:p w:rsidR="00B8642B" w:rsidRDefault="00E33715">
            <w:pPr>
              <w:spacing w:line="312" w:lineRule="auto"/>
              <w:jc w:val="left"/>
              <w:rPr>
                <w:lang w:eastAsia="zh-Hans"/>
              </w:rPr>
            </w:pPr>
            <w:r>
              <w:rPr>
                <w:rFonts w:hint="eastAsia"/>
                <w:lang w:eastAsia="zh-Hans"/>
              </w:rPr>
              <w:t>重点</w:t>
            </w:r>
            <w:r>
              <w:rPr>
                <w:rFonts w:hint="eastAsia"/>
                <w:lang w:eastAsia="zh-Hans"/>
              </w:rPr>
              <w:t>ADRG</w:t>
            </w:r>
            <w:r>
              <w:rPr>
                <w:rFonts w:hint="eastAsia"/>
                <w:lang w:eastAsia="zh-Hans"/>
              </w:rPr>
              <w:t>识别、结算差异同比环比、年度累计与月度预估分析、</w:t>
            </w:r>
            <w:r>
              <w:rPr>
                <w:rFonts w:hint="eastAsia"/>
                <w:lang w:eastAsia="zh-Hans"/>
              </w:rPr>
              <w:t>ADRG</w:t>
            </w:r>
            <w:r>
              <w:rPr>
                <w:rFonts w:hint="eastAsia"/>
                <w:lang w:eastAsia="zh-Hans"/>
              </w:rPr>
              <w:t>结算差异及比例分析、</w:t>
            </w:r>
            <w:r>
              <w:rPr>
                <w:rFonts w:hint="eastAsia"/>
                <w:lang w:eastAsia="zh-Hans"/>
              </w:rPr>
              <w:t>ADRG</w:t>
            </w:r>
            <w:r>
              <w:rPr>
                <w:rFonts w:hint="eastAsia"/>
                <w:lang w:eastAsia="zh-Hans"/>
              </w:rPr>
              <w:t>横向对比分析。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DRG</w:t>
            </w:r>
            <w:r>
              <w:rPr>
                <w:rFonts w:hint="eastAsia"/>
                <w:lang w:eastAsia="zh-Hans"/>
              </w:rPr>
              <w:t>挖掘</w:t>
            </w:r>
          </w:p>
        </w:tc>
        <w:tc>
          <w:tcPr>
            <w:tcW w:w="6213" w:type="dxa"/>
            <w:vAlign w:val="center"/>
          </w:tcPr>
          <w:p w:rsidR="00B8642B" w:rsidRDefault="00E33715">
            <w:pPr>
              <w:spacing w:line="312" w:lineRule="auto"/>
              <w:jc w:val="left"/>
              <w:rPr>
                <w:lang w:eastAsia="zh-Hans"/>
              </w:rPr>
            </w:pPr>
            <w:r>
              <w:rPr>
                <w:rFonts w:hint="eastAsia"/>
                <w:lang w:eastAsia="zh-Hans"/>
              </w:rPr>
              <w:t>重点</w:t>
            </w:r>
            <w:r>
              <w:rPr>
                <w:rFonts w:hint="eastAsia"/>
                <w:lang w:eastAsia="zh-Hans"/>
              </w:rPr>
              <w:t>DRG</w:t>
            </w:r>
            <w:r>
              <w:rPr>
                <w:rFonts w:hint="eastAsia"/>
                <w:lang w:eastAsia="zh-Hans"/>
              </w:rPr>
              <w:t>识别、结算差异同比环比、年度累计与月度预估分析、</w:t>
            </w:r>
            <w:r>
              <w:rPr>
                <w:rFonts w:hint="eastAsia"/>
                <w:lang w:eastAsia="zh-Hans"/>
              </w:rPr>
              <w:t>DRG</w:t>
            </w:r>
            <w:r>
              <w:rPr>
                <w:rFonts w:hint="eastAsia"/>
                <w:lang w:eastAsia="zh-Hans"/>
              </w:rPr>
              <w:t>结算差异及比例分析、</w:t>
            </w:r>
            <w:r>
              <w:rPr>
                <w:rFonts w:hint="eastAsia"/>
                <w:lang w:eastAsia="zh-Hans"/>
              </w:rPr>
              <w:t>DRG</w:t>
            </w:r>
            <w:r>
              <w:rPr>
                <w:rFonts w:hint="eastAsia"/>
                <w:lang w:eastAsia="zh-Hans"/>
              </w:rPr>
              <w:t>横向对比分析。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明细挖掘</w:t>
            </w:r>
          </w:p>
        </w:tc>
        <w:tc>
          <w:tcPr>
            <w:tcW w:w="6213" w:type="dxa"/>
            <w:vAlign w:val="center"/>
          </w:tcPr>
          <w:p w:rsidR="00B8642B" w:rsidRDefault="00E33715">
            <w:pPr>
              <w:spacing w:line="312" w:lineRule="auto"/>
              <w:jc w:val="left"/>
              <w:rPr>
                <w:lang w:eastAsia="zh-Hans"/>
              </w:rPr>
            </w:pPr>
            <w:r>
              <w:rPr>
                <w:rFonts w:hint="eastAsia"/>
                <w:lang w:eastAsia="zh-Hans"/>
              </w:rPr>
              <w:t>针对识别出的重点病组进行明细信息挖掘，与医院个性化病组费用结构标杆值进行对比，分析差异主因，快速有效定位合理控费关键。</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监控预警</w:t>
            </w:r>
          </w:p>
        </w:tc>
        <w:tc>
          <w:tcPr>
            <w:tcW w:w="1099" w:type="dxa"/>
            <w:vAlign w:val="center"/>
          </w:tcPr>
          <w:p w:rsidR="00B8642B" w:rsidRDefault="00E33715">
            <w:pPr>
              <w:spacing w:line="312" w:lineRule="auto"/>
              <w:jc w:val="left"/>
              <w:rPr>
                <w:lang w:eastAsia="zh-Hans"/>
              </w:rPr>
            </w:pPr>
            <w:r>
              <w:rPr>
                <w:rFonts w:hint="eastAsia"/>
                <w:lang w:eastAsia="zh-Hans"/>
              </w:rPr>
              <w:t>DRG</w:t>
            </w:r>
            <w:r>
              <w:rPr>
                <w:rFonts w:hint="eastAsia"/>
                <w:lang w:eastAsia="zh-Hans"/>
              </w:rPr>
              <w:t>综合比例风控预警模型</w:t>
            </w:r>
          </w:p>
        </w:tc>
        <w:tc>
          <w:tcPr>
            <w:tcW w:w="6213" w:type="dxa"/>
            <w:vAlign w:val="center"/>
          </w:tcPr>
          <w:p w:rsidR="00B8642B" w:rsidRDefault="00E33715">
            <w:pPr>
              <w:spacing w:line="312" w:lineRule="auto"/>
              <w:jc w:val="left"/>
              <w:rPr>
                <w:lang w:eastAsia="zh-Hans"/>
              </w:rPr>
            </w:pPr>
            <w:r>
              <w:rPr>
                <w:rFonts w:hint="eastAsia"/>
                <w:lang w:eastAsia="zh-Hans"/>
              </w:rPr>
              <w:t>创建综合比例风控预警模型，针对年度及月度进行多维度指标监控。</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病案填报预警</w:t>
            </w:r>
          </w:p>
        </w:tc>
        <w:tc>
          <w:tcPr>
            <w:tcW w:w="6213" w:type="dxa"/>
            <w:vAlign w:val="center"/>
          </w:tcPr>
          <w:p w:rsidR="00B8642B" w:rsidRDefault="00E33715">
            <w:pPr>
              <w:spacing w:line="312" w:lineRule="auto"/>
              <w:jc w:val="left"/>
              <w:rPr>
                <w:lang w:eastAsia="zh-Hans"/>
              </w:rPr>
            </w:pPr>
            <w:r>
              <w:rPr>
                <w:rFonts w:hint="eastAsia"/>
                <w:lang w:eastAsia="zh-Hans"/>
              </w:rPr>
              <w:t>针对月度统计及年度累计两类时间维度下的病案首页诊断及手术填报情况实时汇总分析，并依据全国及区域大数据标杆值对其进行风险等级判定，预警提示可能存在的风险。</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推诿重症预警</w:t>
            </w:r>
          </w:p>
        </w:tc>
        <w:tc>
          <w:tcPr>
            <w:tcW w:w="6213" w:type="dxa"/>
            <w:vAlign w:val="center"/>
          </w:tcPr>
          <w:p w:rsidR="00B8642B" w:rsidRDefault="00E33715">
            <w:pPr>
              <w:spacing w:line="312" w:lineRule="auto"/>
              <w:jc w:val="left"/>
              <w:rPr>
                <w:lang w:eastAsia="zh-Hans"/>
              </w:rPr>
            </w:pPr>
            <w:r>
              <w:rPr>
                <w:rFonts w:hint="eastAsia"/>
                <w:lang w:eastAsia="zh-Hans"/>
              </w:rPr>
              <w:t>根据全国及区域大数据，结合医院实际情况，创建重症风险预警模型、权重风控预警模型，实时动态监测预警提醒，及时发现及降低推诿重症风险。</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拆单控费预警</w:t>
            </w:r>
          </w:p>
        </w:tc>
        <w:tc>
          <w:tcPr>
            <w:tcW w:w="6213" w:type="dxa"/>
            <w:vAlign w:val="center"/>
          </w:tcPr>
          <w:p w:rsidR="00B8642B" w:rsidRDefault="00E33715">
            <w:pPr>
              <w:spacing w:line="312" w:lineRule="auto"/>
              <w:jc w:val="left"/>
              <w:rPr>
                <w:lang w:eastAsia="zh-Hans"/>
              </w:rPr>
            </w:pPr>
            <w:r>
              <w:rPr>
                <w:rFonts w:hint="eastAsia"/>
                <w:lang w:eastAsia="zh-Hans"/>
              </w:rPr>
              <w:t>根据全国及区域大数据，结合医院实际情况，创建费用常规预警模型、费用异常预警模型，实时动态监测预警提醒，及时发现及降低拆单等不良行为风险，同时针对医院控费力度不足时进行及时预警。</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患者负担监控</w:t>
            </w:r>
          </w:p>
        </w:tc>
        <w:tc>
          <w:tcPr>
            <w:tcW w:w="6213" w:type="dxa"/>
            <w:vAlign w:val="center"/>
          </w:tcPr>
          <w:p w:rsidR="00B8642B" w:rsidRDefault="00E33715">
            <w:pPr>
              <w:spacing w:line="312" w:lineRule="auto"/>
              <w:jc w:val="left"/>
              <w:rPr>
                <w:lang w:eastAsia="zh-Hans"/>
              </w:rPr>
            </w:pPr>
            <w:r>
              <w:rPr>
                <w:rFonts w:hint="eastAsia"/>
                <w:lang w:eastAsia="zh-Hans"/>
              </w:rPr>
              <w:t>对患者自付及患者自费进行实时监控，个性化配置预警值。</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费用结构监控</w:t>
            </w:r>
          </w:p>
        </w:tc>
        <w:tc>
          <w:tcPr>
            <w:tcW w:w="6213" w:type="dxa"/>
            <w:vAlign w:val="center"/>
          </w:tcPr>
          <w:p w:rsidR="00B8642B" w:rsidRDefault="00E33715">
            <w:pPr>
              <w:spacing w:line="312" w:lineRule="auto"/>
              <w:jc w:val="left"/>
              <w:rPr>
                <w:lang w:eastAsia="zh-Hans"/>
              </w:rPr>
            </w:pPr>
            <w:r>
              <w:rPr>
                <w:rFonts w:hint="eastAsia"/>
                <w:lang w:eastAsia="zh-Hans"/>
              </w:rPr>
              <w:t>对全院病例的费用结构进行汇总分析对比。</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智能提醒</w:t>
            </w:r>
          </w:p>
        </w:tc>
        <w:tc>
          <w:tcPr>
            <w:tcW w:w="6213" w:type="dxa"/>
            <w:vAlign w:val="center"/>
          </w:tcPr>
          <w:p w:rsidR="00B8642B" w:rsidRDefault="00E33715">
            <w:pPr>
              <w:spacing w:line="312" w:lineRule="auto"/>
              <w:jc w:val="left"/>
              <w:rPr>
                <w:lang w:eastAsia="zh-Hans"/>
              </w:rPr>
            </w:pPr>
            <w:r>
              <w:rPr>
                <w:rFonts w:hint="eastAsia"/>
                <w:lang w:eastAsia="zh-Hans"/>
              </w:rPr>
              <w:t>针对全院监控预警，综合性多规则判定，智能文字汇报提醒。</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分组效能</w:t>
            </w:r>
          </w:p>
        </w:tc>
        <w:tc>
          <w:tcPr>
            <w:tcW w:w="1099" w:type="dxa"/>
            <w:vAlign w:val="center"/>
          </w:tcPr>
          <w:p w:rsidR="00B8642B" w:rsidRDefault="00E33715">
            <w:pPr>
              <w:spacing w:line="312" w:lineRule="auto"/>
              <w:jc w:val="left"/>
              <w:rPr>
                <w:lang w:eastAsia="zh-Hans"/>
              </w:rPr>
            </w:pPr>
            <w:r>
              <w:rPr>
                <w:rFonts w:hint="eastAsia"/>
                <w:lang w:eastAsia="zh-Hans"/>
              </w:rPr>
              <w:t>分组结果汇总分析</w:t>
            </w:r>
          </w:p>
        </w:tc>
        <w:tc>
          <w:tcPr>
            <w:tcW w:w="6213" w:type="dxa"/>
            <w:vAlign w:val="center"/>
          </w:tcPr>
          <w:p w:rsidR="00B8642B" w:rsidRDefault="00E33715">
            <w:pPr>
              <w:spacing w:line="312" w:lineRule="auto"/>
              <w:jc w:val="left"/>
              <w:rPr>
                <w:lang w:eastAsia="zh-Hans"/>
              </w:rPr>
            </w:pPr>
            <w:r>
              <w:rPr>
                <w:rFonts w:hint="eastAsia"/>
                <w:lang w:eastAsia="zh-Hans"/>
              </w:rPr>
              <w:t>对出院病例进行汇总分析，可视化展示纳入分组病例病例数量、入组数量，横向对比内科组、外科手术组、非手术操作组的病例数量。</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分组效能评估</w:t>
            </w:r>
          </w:p>
        </w:tc>
        <w:tc>
          <w:tcPr>
            <w:tcW w:w="6213" w:type="dxa"/>
            <w:vAlign w:val="center"/>
          </w:tcPr>
          <w:p w:rsidR="00B8642B" w:rsidRDefault="00E33715">
            <w:pPr>
              <w:spacing w:line="312" w:lineRule="auto"/>
              <w:jc w:val="left"/>
              <w:rPr>
                <w:lang w:eastAsia="zh-Hans"/>
              </w:rPr>
            </w:pPr>
            <w:r>
              <w:rPr>
                <w:rFonts w:hint="eastAsia"/>
                <w:lang w:eastAsia="zh-Hans"/>
              </w:rPr>
              <w:t>对总体病例入组率（同比、环比）、覆盖广度</w:t>
            </w:r>
            <w:r>
              <w:rPr>
                <w:rFonts w:hint="eastAsia"/>
                <w:lang w:eastAsia="zh-Hans"/>
              </w:rPr>
              <w:t>ADRG</w:t>
            </w:r>
            <w:r>
              <w:rPr>
                <w:rFonts w:hint="eastAsia"/>
                <w:lang w:eastAsia="zh-Hans"/>
              </w:rPr>
              <w:t>组数、</w:t>
            </w:r>
            <w:r>
              <w:rPr>
                <w:rFonts w:hint="eastAsia"/>
                <w:lang w:eastAsia="zh-Hans"/>
              </w:rPr>
              <w:t>DRG</w:t>
            </w:r>
            <w:r>
              <w:rPr>
                <w:rFonts w:hint="eastAsia"/>
                <w:lang w:eastAsia="zh-Hans"/>
              </w:rPr>
              <w:t>组数、</w:t>
            </w:r>
            <w:r>
              <w:rPr>
                <w:rFonts w:hint="eastAsia"/>
                <w:lang w:eastAsia="zh-Hans"/>
              </w:rPr>
              <w:t>CV</w:t>
            </w:r>
            <w:r>
              <w:rPr>
                <w:rFonts w:hint="eastAsia"/>
                <w:lang w:eastAsia="zh-Hans"/>
              </w:rPr>
              <w:t>、</w:t>
            </w:r>
            <w:r>
              <w:rPr>
                <w:rFonts w:hint="eastAsia"/>
                <w:lang w:eastAsia="zh-Hans"/>
              </w:rPr>
              <w:t>RIV</w:t>
            </w:r>
            <w:r>
              <w:rPr>
                <w:rFonts w:hint="eastAsia"/>
                <w:lang w:eastAsia="zh-Hans"/>
              </w:rPr>
              <w:t>进行统计分析。</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服务绩效</w:t>
            </w:r>
          </w:p>
        </w:tc>
        <w:tc>
          <w:tcPr>
            <w:tcW w:w="1099" w:type="dxa"/>
            <w:vAlign w:val="center"/>
          </w:tcPr>
          <w:p w:rsidR="00B8642B" w:rsidRDefault="00E33715">
            <w:pPr>
              <w:spacing w:line="312" w:lineRule="auto"/>
              <w:jc w:val="left"/>
              <w:rPr>
                <w:lang w:eastAsia="zh-Hans"/>
              </w:rPr>
            </w:pPr>
            <w:r>
              <w:rPr>
                <w:rFonts w:hint="eastAsia"/>
                <w:lang w:eastAsia="zh-Hans"/>
              </w:rPr>
              <w:t>医院绩效评价</w:t>
            </w:r>
          </w:p>
        </w:tc>
        <w:tc>
          <w:tcPr>
            <w:tcW w:w="6213" w:type="dxa"/>
            <w:vAlign w:val="center"/>
          </w:tcPr>
          <w:p w:rsidR="00B8642B" w:rsidRDefault="00E33715">
            <w:pPr>
              <w:spacing w:line="312" w:lineRule="auto"/>
              <w:jc w:val="left"/>
              <w:rPr>
                <w:lang w:eastAsia="zh-Hans"/>
              </w:rPr>
            </w:pPr>
            <w:r>
              <w:rPr>
                <w:rFonts w:hint="eastAsia"/>
                <w:lang w:eastAsia="zh-Hans"/>
              </w:rPr>
              <w:t>涵盖多维综合评价（因子分析模型）、服务能力评价、服务绩效评价、服务效率评价、服务质量与安全评价等维度，并提供时间序列趋势分析。通过历史数据前期分析并结合全国及地方区域大数据标杆，为医院在绩效管理方面提供院内决策依据、绩效分配导向、规则智能提醒、标准标杆比对，推动医院服务绩效考核管理评价及绩效分配进程。</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科室绩效评价</w:t>
            </w:r>
          </w:p>
        </w:tc>
        <w:tc>
          <w:tcPr>
            <w:tcW w:w="6213" w:type="dxa"/>
            <w:vAlign w:val="center"/>
          </w:tcPr>
          <w:p w:rsidR="00B8642B" w:rsidRDefault="00E33715">
            <w:pPr>
              <w:spacing w:line="312" w:lineRule="auto"/>
              <w:jc w:val="left"/>
              <w:rPr>
                <w:lang w:eastAsia="zh-Hans"/>
              </w:rPr>
            </w:pPr>
            <w:r>
              <w:rPr>
                <w:rFonts w:hint="eastAsia"/>
                <w:lang w:eastAsia="zh-Hans"/>
              </w:rPr>
              <w:t>对各科室进行多维综合评价（因子分析模型）、服务能力评价、服务绩效评价、服务效率评价、服务质量与安全评价。包含且不限于</w:t>
            </w:r>
            <w:r>
              <w:rPr>
                <w:rFonts w:hint="eastAsia"/>
                <w:lang w:eastAsia="zh-Hans"/>
              </w:rPr>
              <w:t>CMI</w:t>
            </w:r>
            <w:r>
              <w:rPr>
                <w:rFonts w:hint="eastAsia"/>
                <w:lang w:eastAsia="zh-Hans"/>
              </w:rPr>
              <w:t>、时间消耗指数、费用消耗指数、低风险组死亡率，再入院率等指标。</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科室绩效分配</w:t>
            </w:r>
          </w:p>
        </w:tc>
        <w:tc>
          <w:tcPr>
            <w:tcW w:w="6213" w:type="dxa"/>
            <w:vAlign w:val="center"/>
          </w:tcPr>
          <w:p w:rsidR="00B8642B" w:rsidRDefault="00E33715">
            <w:pPr>
              <w:spacing w:line="312" w:lineRule="auto"/>
              <w:jc w:val="left"/>
              <w:rPr>
                <w:lang w:eastAsia="zh-Hans"/>
              </w:rPr>
            </w:pPr>
            <w:r>
              <w:rPr>
                <w:rFonts w:hint="eastAsia"/>
                <w:lang w:eastAsia="zh-Hans"/>
              </w:rPr>
              <w:t>建立两版分配方案，分别通过</w:t>
            </w:r>
            <w:r>
              <w:rPr>
                <w:rFonts w:hint="eastAsia"/>
                <w:lang w:eastAsia="zh-Hans"/>
              </w:rPr>
              <w:t>DRG</w:t>
            </w:r>
            <w:r>
              <w:rPr>
                <w:rFonts w:hint="eastAsia"/>
                <w:lang w:eastAsia="zh-Hans"/>
              </w:rPr>
              <w:t>工作量法、综合评价法对月度总绩效完成科室分配，提供绩效分配结果参考。</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系统查询</w:t>
            </w:r>
          </w:p>
        </w:tc>
        <w:tc>
          <w:tcPr>
            <w:tcW w:w="1099" w:type="dxa"/>
            <w:vAlign w:val="center"/>
          </w:tcPr>
          <w:p w:rsidR="00B8642B" w:rsidRDefault="00E33715">
            <w:pPr>
              <w:spacing w:line="312" w:lineRule="auto"/>
              <w:jc w:val="left"/>
              <w:rPr>
                <w:lang w:eastAsia="zh-Hans"/>
              </w:rPr>
            </w:pPr>
            <w:r>
              <w:rPr>
                <w:rFonts w:hint="eastAsia"/>
                <w:lang w:eastAsia="zh-Hans"/>
              </w:rPr>
              <w:t>病组查询</w:t>
            </w:r>
          </w:p>
        </w:tc>
        <w:tc>
          <w:tcPr>
            <w:tcW w:w="6213" w:type="dxa"/>
            <w:vAlign w:val="center"/>
          </w:tcPr>
          <w:p w:rsidR="00B8642B" w:rsidRDefault="00E33715">
            <w:pPr>
              <w:spacing w:line="312" w:lineRule="auto"/>
              <w:jc w:val="left"/>
              <w:rPr>
                <w:lang w:eastAsia="zh-Hans"/>
              </w:rPr>
            </w:pPr>
            <w:r>
              <w:rPr>
                <w:rFonts w:hint="eastAsia"/>
                <w:lang w:eastAsia="zh-Hans"/>
              </w:rPr>
              <w:t>根据账号权限，实现病组在科室、主诊组、责任医生下的差异分析，定位差异主因、对入组病例数、总费用、平均住院天数、预估结算差额、差异比例等进行单项或综合查询。</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Fonts w:ascii="宋体" w:eastAsia="宋体" w:hAnsi="宋体"/>
              </w:rPr>
            </w:pPr>
          </w:p>
        </w:tc>
        <w:tc>
          <w:tcPr>
            <w:tcW w:w="1099" w:type="dxa"/>
            <w:vAlign w:val="center"/>
          </w:tcPr>
          <w:p w:rsidR="00B8642B" w:rsidRDefault="00E33715">
            <w:pPr>
              <w:spacing w:line="312" w:lineRule="auto"/>
              <w:jc w:val="left"/>
              <w:rPr>
                <w:lang w:eastAsia="zh-Hans"/>
              </w:rPr>
            </w:pPr>
            <w:r>
              <w:rPr>
                <w:rFonts w:hint="eastAsia"/>
                <w:lang w:eastAsia="zh-Hans"/>
              </w:rPr>
              <w:t>病例查询</w:t>
            </w:r>
          </w:p>
        </w:tc>
        <w:tc>
          <w:tcPr>
            <w:tcW w:w="6213" w:type="dxa"/>
            <w:vAlign w:val="center"/>
          </w:tcPr>
          <w:p w:rsidR="00B8642B" w:rsidRDefault="00E33715">
            <w:pPr>
              <w:spacing w:line="312" w:lineRule="auto"/>
              <w:jc w:val="left"/>
              <w:rPr>
                <w:lang w:eastAsia="zh-Hans"/>
              </w:rPr>
            </w:pPr>
            <w:r>
              <w:rPr>
                <w:rFonts w:hint="eastAsia"/>
                <w:lang w:eastAsia="zh-Hans"/>
              </w:rPr>
              <w:t>根据全院及科室账号权限，实现病例在科室、主诊组、责任医生下的差异分析，定位差异主因、对病例类型、总费用、住院天数、预估结算差额、差异比例等进行单项或综合查询。</w:t>
            </w:r>
          </w:p>
        </w:tc>
      </w:tr>
      <w:tr w:rsidR="00B8642B">
        <w:trPr>
          <w:cantSplit/>
          <w:jc w:val="center"/>
        </w:trPr>
        <w:tc>
          <w:tcPr>
            <w:tcW w:w="378"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3</w:t>
            </w:r>
          </w:p>
        </w:tc>
        <w:tc>
          <w:tcPr>
            <w:tcW w:w="926"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系统维护与管理模块</w:t>
            </w:r>
          </w:p>
        </w:tc>
        <w:tc>
          <w:tcPr>
            <w:tcW w:w="1190" w:type="dxa"/>
            <w:vMerge w:val="restart"/>
            <w:vAlign w:val="center"/>
          </w:tcPr>
          <w:p w:rsidR="00B8642B" w:rsidRDefault="00E33715">
            <w:pPr>
              <w:spacing w:line="312" w:lineRule="auto"/>
              <w:jc w:val="center"/>
              <w:rPr>
                <w:rFonts w:ascii="宋体" w:eastAsia="宋体" w:hAnsi="宋体"/>
              </w:rPr>
            </w:pPr>
            <w:r>
              <w:rPr>
                <w:rFonts w:ascii="宋体" w:eastAsia="宋体" w:hAnsi="宋体" w:hint="eastAsia"/>
              </w:rPr>
              <w:t>信息维护</w:t>
            </w:r>
          </w:p>
        </w:tc>
        <w:tc>
          <w:tcPr>
            <w:tcW w:w="1099" w:type="dxa"/>
            <w:vAlign w:val="center"/>
          </w:tcPr>
          <w:p w:rsidR="00B8642B" w:rsidRDefault="00E33715">
            <w:pPr>
              <w:spacing w:line="312" w:lineRule="auto"/>
              <w:jc w:val="left"/>
              <w:rPr>
                <w:lang w:eastAsia="zh-Hans"/>
              </w:rPr>
            </w:pPr>
            <w:r>
              <w:rPr>
                <w:rStyle w:val="fontstyle01"/>
                <w:sz w:val="21"/>
              </w:rPr>
              <w:t>科室管理</w:t>
            </w:r>
          </w:p>
        </w:tc>
        <w:tc>
          <w:tcPr>
            <w:tcW w:w="6213" w:type="dxa"/>
            <w:vAlign w:val="center"/>
          </w:tcPr>
          <w:p w:rsidR="00B8642B" w:rsidRDefault="00E33715">
            <w:pPr>
              <w:spacing w:line="312" w:lineRule="auto"/>
              <w:jc w:val="left"/>
              <w:rPr>
                <w:lang w:eastAsia="zh-Hans"/>
              </w:rPr>
            </w:pPr>
            <w:r>
              <w:rPr>
                <w:rFonts w:hint="eastAsia"/>
              </w:rPr>
              <w:t>对系统中科室信息进行相应维护。</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Style w:val="fontstyle01"/>
                <w:sz w:val="21"/>
              </w:rPr>
            </w:pPr>
          </w:p>
        </w:tc>
        <w:tc>
          <w:tcPr>
            <w:tcW w:w="1099" w:type="dxa"/>
            <w:vAlign w:val="center"/>
          </w:tcPr>
          <w:p w:rsidR="00B8642B" w:rsidRDefault="00E33715">
            <w:pPr>
              <w:spacing w:line="312" w:lineRule="auto"/>
              <w:jc w:val="left"/>
              <w:rPr>
                <w:lang w:eastAsia="zh-Hans"/>
              </w:rPr>
            </w:pPr>
            <w:r>
              <w:rPr>
                <w:rStyle w:val="fontstyle01"/>
                <w:rFonts w:hint="eastAsia"/>
                <w:sz w:val="21"/>
              </w:rPr>
              <w:t>账号</w:t>
            </w:r>
            <w:r>
              <w:rPr>
                <w:rStyle w:val="fontstyle01"/>
                <w:sz w:val="21"/>
              </w:rPr>
              <w:t>管理</w:t>
            </w:r>
          </w:p>
        </w:tc>
        <w:tc>
          <w:tcPr>
            <w:tcW w:w="6213" w:type="dxa"/>
            <w:vAlign w:val="center"/>
          </w:tcPr>
          <w:p w:rsidR="00B8642B" w:rsidRDefault="00E33715">
            <w:pPr>
              <w:spacing w:line="312" w:lineRule="auto"/>
              <w:jc w:val="left"/>
              <w:rPr>
                <w:lang w:eastAsia="zh-Hans"/>
              </w:rPr>
            </w:pPr>
            <w:r>
              <w:rPr>
                <w:rFonts w:hint="eastAsia"/>
              </w:rPr>
              <w:t>对系统中人员账号信息进行相应维护。</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Merge/>
            <w:vAlign w:val="center"/>
          </w:tcPr>
          <w:p w:rsidR="00B8642B" w:rsidRDefault="00B8642B">
            <w:pPr>
              <w:spacing w:line="312" w:lineRule="auto"/>
              <w:jc w:val="center"/>
              <w:rPr>
                <w:rStyle w:val="fontstyle01"/>
                <w:sz w:val="21"/>
              </w:rPr>
            </w:pPr>
          </w:p>
        </w:tc>
        <w:tc>
          <w:tcPr>
            <w:tcW w:w="1099" w:type="dxa"/>
            <w:vAlign w:val="center"/>
          </w:tcPr>
          <w:p w:rsidR="00B8642B" w:rsidRDefault="00E33715">
            <w:pPr>
              <w:spacing w:line="312" w:lineRule="auto"/>
              <w:jc w:val="left"/>
              <w:rPr>
                <w:rStyle w:val="fontstyle01"/>
                <w:sz w:val="21"/>
              </w:rPr>
            </w:pPr>
            <w:r>
              <w:rPr>
                <w:rStyle w:val="fontstyle01"/>
                <w:rFonts w:hint="eastAsia"/>
                <w:sz w:val="21"/>
              </w:rPr>
              <w:t>权限管理</w:t>
            </w:r>
          </w:p>
        </w:tc>
        <w:tc>
          <w:tcPr>
            <w:tcW w:w="6213" w:type="dxa"/>
            <w:vAlign w:val="center"/>
          </w:tcPr>
          <w:p w:rsidR="00B8642B" w:rsidRDefault="00E33715">
            <w:pPr>
              <w:spacing w:line="312" w:lineRule="auto"/>
              <w:jc w:val="left"/>
              <w:rPr>
                <w:lang w:eastAsia="zh-Hans"/>
              </w:rPr>
            </w:pPr>
            <w:r>
              <w:rPr>
                <w:rFonts w:hint="eastAsia"/>
              </w:rPr>
              <w:t>对系统各账号的权限分配管理。</w:t>
            </w:r>
          </w:p>
        </w:tc>
      </w:tr>
      <w:tr w:rsidR="00B8642B">
        <w:trPr>
          <w:cantSplit/>
          <w:jc w:val="center"/>
        </w:trPr>
        <w:tc>
          <w:tcPr>
            <w:tcW w:w="378" w:type="dxa"/>
            <w:vMerge/>
            <w:vAlign w:val="center"/>
          </w:tcPr>
          <w:p w:rsidR="00B8642B" w:rsidRDefault="00B8642B">
            <w:pPr>
              <w:spacing w:line="312" w:lineRule="auto"/>
              <w:jc w:val="center"/>
              <w:rPr>
                <w:rFonts w:ascii="宋体" w:eastAsia="宋体" w:hAnsi="宋体"/>
              </w:rPr>
            </w:pPr>
          </w:p>
        </w:tc>
        <w:tc>
          <w:tcPr>
            <w:tcW w:w="926" w:type="dxa"/>
            <w:vMerge/>
            <w:vAlign w:val="center"/>
          </w:tcPr>
          <w:p w:rsidR="00B8642B" w:rsidRDefault="00B8642B">
            <w:pPr>
              <w:spacing w:line="312" w:lineRule="auto"/>
              <w:jc w:val="center"/>
              <w:rPr>
                <w:rFonts w:ascii="宋体" w:eastAsia="宋体" w:hAnsi="宋体"/>
              </w:rPr>
            </w:pPr>
          </w:p>
        </w:tc>
        <w:tc>
          <w:tcPr>
            <w:tcW w:w="1190" w:type="dxa"/>
            <w:vAlign w:val="center"/>
          </w:tcPr>
          <w:p w:rsidR="00B8642B" w:rsidRDefault="00E33715">
            <w:pPr>
              <w:spacing w:line="312" w:lineRule="auto"/>
              <w:jc w:val="center"/>
              <w:rPr>
                <w:rStyle w:val="fontstyle01"/>
                <w:sz w:val="21"/>
              </w:rPr>
            </w:pPr>
            <w:proofErr w:type="gramStart"/>
            <w:r>
              <w:rPr>
                <w:rStyle w:val="fontstyle01"/>
                <w:rFonts w:hint="eastAsia"/>
                <w:sz w:val="21"/>
              </w:rPr>
              <w:t>医保维护</w:t>
            </w:r>
            <w:proofErr w:type="gramEnd"/>
          </w:p>
        </w:tc>
        <w:tc>
          <w:tcPr>
            <w:tcW w:w="1099" w:type="dxa"/>
            <w:vAlign w:val="center"/>
          </w:tcPr>
          <w:p w:rsidR="00B8642B" w:rsidRDefault="00E33715">
            <w:pPr>
              <w:spacing w:line="312" w:lineRule="auto"/>
              <w:jc w:val="left"/>
              <w:rPr>
                <w:rStyle w:val="fontstyle01"/>
                <w:sz w:val="21"/>
              </w:rPr>
            </w:pPr>
            <w:proofErr w:type="gramStart"/>
            <w:r>
              <w:rPr>
                <w:rStyle w:val="fontstyle01"/>
                <w:rFonts w:hint="eastAsia"/>
                <w:sz w:val="21"/>
              </w:rPr>
              <w:t>医</w:t>
            </w:r>
            <w:proofErr w:type="gramEnd"/>
            <w:r>
              <w:rPr>
                <w:rStyle w:val="fontstyle01"/>
                <w:rFonts w:hint="eastAsia"/>
                <w:sz w:val="21"/>
              </w:rPr>
              <w:t>保导入</w:t>
            </w:r>
          </w:p>
        </w:tc>
        <w:tc>
          <w:tcPr>
            <w:tcW w:w="6213" w:type="dxa"/>
            <w:vAlign w:val="center"/>
          </w:tcPr>
          <w:p w:rsidR="00B8642B" w:rsidRDefault="00E33715">
            <w:pPr>
              <w:spacing w:line="312" w:lineRule="auto"/>
              <w:jc w:val="left"/>
              <w:rPr>
                <w:lang w:eastAsia="zh-Hans"/>
              </w:rPr>
            </w:pPr>
            <w:r>
              <w:rPr>
                <w:rFonts w:hint="eastAsia"/>
              </w:rPr>
              <w:t>导入相关</w:t>
            </w:r>
            <w:proofErr w:type="gramStart"/>
            <w:r>
              <w:rPr>
                <w:rFonts w:hint="eastAsia"/>
              </w:rPr>
              <w:t>医</w:t>
            </w:r>
            <w:proofErr w:type="gramEnd"/>
            <w:r>
              <w:rPr>
                <w:rFonts w:hint="eastAsia"/>
              </w:rPr>
              <w:t>保数据。</w:t>
            </w:r>
          </w:p>
        </w:tc>
      </w:tr>
    </w:tbl>
    <w:p w:rsidR="00B8642B" w:rsidRDefault="00B8642B">
      <w:pPr>
        <w:pStyle w:val="a0"/>
        <w:rPr>
          <w:lang w:val="en-US"/>
        </w:rPr>
      </w:pPr>
    </w:p>
    <w:p w:rsidR="00B8642B" w:rsidRDefault="00E33715">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对接口及系统改造的要求</w:t>
      </w:r>
    </w:p>
    <w:p w:rsidR="00B8642B" w:rsidRDefault="00E33715">
      <w:pPr>
        <w:rPr>
          <w:rFonts w:ascii="宋体" w:eastAsia="宋体" w:hAnsi="宋体" w:cs="宋体"/>
          <w:b/>
          <w:bCs/>
          <w:sz w:val="24"/>
          <w:szCs w:val="24"/>
        </w:rPr>
      </w:pPr>
      <w:r>
        <w:rPr>
          <w:rFonts w:ascii="宋体" w:eastAsia="宋体" w:hAnsi="宋体" w:cs="宋体" w:hint="eastAsia"/>
          <w:b/>
          <w:bCs/>
          <w:sz w:val="24"/>
          <w:szCs w:val="24"/>
        </w:rPr>
        <w:tab/>
      </w:r>
      <w:r>
        <w:rPr>
          <w:rFonts w:ascii="宋体" w:eastAsia="宋体" w:hAnsi="宋体" w:cs="宋体" w:hint="eastAsia"/>
          <w:b/>
          <w:bCs/>
          <w:sz w:val="24"/>
          <w:szCs w:val="24"/>
        </w:rPr>
        <w:t>维保期和续保期内免费实现以下要求：</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3.1</w:t>
      </w:r>
      <w:r>
        <w:rPr>
          <w:rFonts w:ascii="宋体" w:eastAsia="宋体" w:hAnsi="宋体" w:cs="宋体" w:hint="eastAsia"/>
          <w:sz w:val="24"/>
          <w:lang w:val="en-US"/>
        </w:rPr>
        <w:t>提供全面的接口技术，与第三方系统共享数据和功能，这些接口技术包括中间件技术接口、</w:t>
      </w:r>
      <w:r>
        <w:rPr>
          <w:rFonts w:ascii="宋体" w:eastAsia="宋体" w:hAnsi="宋体" w:cs="宋体" w:hint="eastAsia"/>
          <w:sz w:val="24"/>
          <w:lang w:val="en-US"/>
        </w:rPr>
        <w:t>WEBSEVICE</w:t>
      </w:r>
      <w:r>
        <w:rPr>
          <w:rFonts w:ascii="宋体" w:eastAsia="宋体" w:hAnsi="宋体" w:cs="宋体" w:hint="eastAsia"/>
          <w:sz w:val="24"/>
          <w:lang w:val="en-US"/>
        </w:rPr>
        <w:t>通用接口、数据库级接口、文件文本接口等。</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3.2</w:t>
      </w:r>
      <w:r>
        <w:rPr>
          <w:rFonts w:ascii="宋体" w:eastAsia="宋体" w:hAnsi="宋体" w:cs="宋体" w:hint="eastAsia"/>
          <w:sz w:val="24"/>
          <w:lang w:val="en-US"/>
        </w:rPr>
        <w:t>提供与医院第三方系统统一接口的维护与管理，与</w:t>
      </w:r>
      <w:r>
        <w:rPr>
          <w:rFonts w:ascii="宋体" w:eastAsia="宋体" w:hAnsi="宋体" w:cs="宋体" w:hint="eastAsia"/>
          <w:sz w:val="24"/>
          <w:lang w:val="en-US"/>
        </w:rPr>
        <w:t>HIS</w:t>
      </w:r>
      <w:r>
        <w:rPr>
          <w:rFonts w:ascii="宋体" w:eastAsia="宋体" w:hAnsi="宋体" w:cs="宋体" w:hint="eastAsia"/>
          <w:sz w:val="24"/>
          <w:lang w:val="en-US"/>
        </w:rPr>
        <w:t>、电子病历、</w:t>
      </w:r>
      <w:r>
        <w:rPr>
          <w:rFonts w:ascii="宋体" w:eastAsia="宋体" w:hAnsi="宋体" w:cs="宋体" w:hint="eastAsia"/>
          <w:sz w:val="24"/>
          <w:lang w:val="en-US"/>
        </w:rPr>
        <w:t>LIS</w:t>
      </w:r>
      <w:r>
        <w:rPr>
          <w:rFonts w:ascii="宋体" w:eastAsia="宋体" w:hAnsi="宋体" w:cs="宋体" w:hint="eastAsia"/>
          <w:sz w:val="24"/>
          <w:lang w:val="en-US"/>
        </w:rPr>
        <w:t>、</w:t>
      </w:r>
      <w:r>
        <w:rPr>
          <w:rFonts w:ascii="宋体" w:eastAsia="宋体" w:hAnsi="宋体" w:cs="宋体" w:hint="eastAsia"/>
          <w:sz w:val="24"/>
          <w:lang w:val="en-US"/>
        </w:rPr>
        <w:t>PACS</w:t>
      </w:r>
      <w:r>
        <w:rPr>
          <w:rFonts w:ascii="宋体" w:eastAsia="宋体" w:hAnsi="宋体" w:cs="宋体" w:hint="eastAsia"/>
          <w:sz w:val="24"/>
          <w:lang w:val="en-US"/>
        </w:rPr>
        <w:t>、心电系统、体检系统、集成平台、智慧运营平台、成本管理系统、排班系统、人力资源管理系统、财务管理系统、互联网医院、</w:t>
      </w:r>
      <w:r>
        <w:rPr>
          <w:rFonts w:ascii="宋体" w:eastAsia="宋体" w:hAnsi="宋体" w:cs="宋体" w:hint="eastAsia"/>
          <w:sz w:val="24"/>
          <w:lang w:val="en-US"/>
        </w:rPr>
        <w:t>OA</w:t>
      </w:r>
      <w:r>
        <w:rPr>
          <w:rFonts w:ascii="宋体" w:eastAsia="宋体" w:hAnsi="宋体" w:cs="宋体" w:hint="eastAsia"/>
          <w:sz w:val="24"/>
          <w:lang w:val="en-US"/>
        </w:rPr>
        <w:t>系统、自助服务平台、</w:t>
      </w:r>
      <w:r>
        <w:rPr>
          <w:rFonts w:ascii="宋体" w:eastAsia="宋体" w:hAnsi="宋体" w:cs="宋体" w:hint="eastAsia"/>
          <w:sz w:val="24"/>
          <w:lang w:val="en-US"/>
        </w:rPr>
        <w:t>DRG</w:t>
      </w:r>
      <w:r>
        <w:rPr>
          <w:rFonts w:ascii="宋体" w:eastAsia="宋体" w:hAnsi="宋体" w:cs="宋体" w:hint="eastAsia"/>
          <w:sz w:val="24"/>
          <w:lang w:val="en-US"/>
        </w:rPr>
        <w:t>管理、绩效管理、电子发票、短信平台、财务电子档案、固定资产管理等其他所有医院相关业务系统（包括以上医院系统但不仅限于以上系统）进行免费接口对接，实现数据交换。</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3.3</w:t>
      </w:r>
      <w:r>
        <w:rPr>
          <w:rFonts w:ascii="宋体" w:eastAsia="宋体" w:hAnsi="宋体" w:cs="宋体" w:hint="eastAsia"/>
          <w:sz w:val="24"/>
          <w:lang w:val="en-US"/>
        </w:rPr>
        <w:t>满足医院电子病历系统功能应用水平分级评价达到</w:t>
      </w:r>
      <w:r>
        <w:rPr>
          <w:rFonts w:ascii="宋体" w:eastAsia="宋体" w:hAnsi="宋体" w:cs="宋体" w:hint="eastAsia"/>
          <w:sz w:val="24"/>
          <w:lang w:val="en-US"/>
        </w:rPr>
        <w:t>6</w:t>
      </w:r>
      <w:r>
        <w:rPr>
          <w:rFonts w:ascii="宋体" w:eastAsia="宋体" w:hAnsi="宋体" w:cs="宋体" w:hint="eastAsia"/>
          <w:sz w:val="24"/>
          <w:lang w:val="en-US"/>
        </w:rPr>
        <w:t>级以上评审、医院信息互联互通标准化成熟度测评达到五级乙等以上水平评审、信</w:t>
      </w:r>
      <w:r>
        <w:rPr>
          <w:rFonts w:ascii="宋体" w:eastAsia="宋体" w:hAnsi="宋体" w:cs="宋体" w:hint="eastAsia"/>
          <w:sz w:val="24"/>
          <w:lang w:val="en-US"/>
        </w:rPr>
        <w:t>息系统安全等级保</w:t>
      </w:r>
      <w:r>
        <w:rPr>
          <w:rFonts w:ascii="宋体" w:eastAsia="宋体" w:hAnsi="宋体" w:cs="宋体" w:hint="eastAsia"/>
          <w:sz w:val="24"/>
          <w:lang w:val="en-US"/>
        </w:rPr>
        <w:lastRenderedPageBreak/>
        <w:t>护三级测评、三甲医院评审、医院智慧服务分级评估标准体系达到</w:t>
      </w:r>
      <w:r>
        <w:rPr>
          <w:rFonts w:ascii="宋体" w:eastAsia="宋体" w:hAnsi="宋体" w:cs="宋体" w:hint="eastAsia"/>
          <w:sz w:val="24"/>
          <w:lang w:val="en-US"/>
        </w:rPr>
        <w:t>4</w:t>
      </w:r>
      <w:r>
        <w:rPr>
          <w:rFonts w:ascii="宋体" w:eastAsia="宋体" w:hAnsi="宋体" w:cs="宋体" w:hint="eastAsia"/>
          <w:sz w:val="24"/>
          <w:lang w:val="en-US"/>
        </w:rPr>
        <w:t>级以上相关的功能要求、医院智慧管理分级评估标准体系达到</w:t>
      </w:r>
      <w:r>
        <w:rPr>
          <w:rFonts w:ascii="宋体" w:eastAsia="宋体" w:hAnsi="宋体" w:cs="宋体" w:hint="eastAsia"/>
          <w:sz w:val="24"/>
          <w:lang w:val="en-US"/>
        </w:rPr>
        <w:t>4</w:t>
      </w:r>
      <w:r>
        <w:rPr>
          <w:rFonts w:ascii="宋体" w:eastAsia="宋体" w:hAnsi="宋体" w:cs="宋体" w:hint="eastAsia"/>
          <w:sz w:val="24"/>
          <w:lang w:val="en-US"/>
        </w:rPr>
        <w:t>级以上相关的功能要求、网络攻防演练中的安全防护要求以及医院其他需要评审的信息化技术改造服务要求；</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3.4</w:t>
      </w:r>
      <w:r>
        <w:rPr>
          <w:rFonts w:ascii="宋体" w:eastAsia="宋体" w:hAnsi="宋体" w:cs="宋体" w:hint="eastAsia"/>
          <w:sz w:val="24"/>
          <w:lang w:val="en-US"/>
        </w:rPr>
        <w:t>提供软件免费升级及个性化修改服务，免费实现院方的个性化需求；软件自身错误类问题提供永久性免费修改服务；</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3.5</w:t>
      </w:r>
      <w:r>
        <w:rPr>
          <w:rFonts w:ascii="宋体" w:eastAsia="宋体" w:hAnsi="宋体" w:cs="宋体" w:hint="eastAsia"/>
          <w:sz w:val="24"/>
          <w:lang w:val="en-US"/>
        </w:rPr>
        <w:t>免费提供医院新增业务信息系统的对接、免费实现医院上级管理部门要求的系统接口对接要求。</w:t>
      </w:r>
    </w:p>
    <w:p w:rsidR="00B8642B" w:rsidRDefault="00E33715">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项目实施要求</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4.1</w:t>
      </w:r>
      <w:r>
        <w:rPr>
          <w:rFonts w:ascii="宋体" w:eastAsia="宋体" w:hAnsi="宋体" w:cs="宋体" w:hint="eastAsia"/>
          <w:sz w:val="24"/>
          <w:lang w:val="en-US"/>
        </w:rPr>
        <w:t>驻场、实施工期要求：合同签订后，</w:t>
      </w:r>
      <w:r>
        <w:rPr>
          <w:rFonts w:ascii="宋体" w:eastAsia="宋体" w:hAnsi="宋体" w:cs="宋体" w:hint="eastAsia"/>
          <w:sz w:val="24"/>
          <w:lang w:val="en-US"/>
        </w:rPr>
        <w:t>7</w:t>
      </w:r>
      <w:r>
        <w:rPr>
          <w:rFonts w:ascii="宋体" w:eastAsia="宋体" w:hAnsi="宋体" w:cs="宋体" w:hint="eastAsia"/>
          <w:sz w:val="24"/>
          <w:lang w:val="en-US"/>
        </w:rPr>
        <w:t>个工作日内项目实施人员必须</w:t>
      </w:r>
      <w:r>
        <w:rPr>
          <w:rFonts w:ascii="宋体" w:eastAsia="宋体" w:hAnsi="宋体" w:cs="宋体" w:hint="eastAsia"/>
          <w:sz w:val="24"/>
          <w:lang w:val="en-US"/>
        </w:rPr>
        <w:t>进场，系统需在</w:t>
      </w:r>
      <w:r>
        <w:rPr>
          <w:rFonts w:ascii="宋体" w:eastAsia="宋体" w:hAnsi="宋体" w:cs="宋体"/>
          <w:sz w:val="24"/>
          <w:lang w:val="en-US"/>
        </w:rPr>
        <w:t>3</w:t>
      </w:r>
      <w:r>
        <w:rPr>
          <w:rFonts w:ascii="宋体" w:eastAsia="宋体" w:hAnsi="宋体" w:cs="宋体" w:hint="eastAsia"/>
          <w:sz w:val="24"/>
          <w:lang w:val="en-US"/>
        </w:rPr>
        <w:t>个月内完成项目实施上线，请分别列出每个系统实施的工作计划及周期。</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4.2</w:t>
      </w:r>
      <w:r>
        <w:rPr>
          <w:rFonts w:ascii="宋体" w:eastAsia="宋体" w:hAnsi="宋体" w:cs="宋体" w:hint="eastAsia"/>
          <w:sz w:val="24"/>
          <w:lang w:val="en-US"/>
        </w:rPr>
        <w:t>驻场人员要求：</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实施工程师：项目驻场实施工程师需有</w:t>
      </w:r>
      <w:r>
        <w:rPr>
          <w:rFonts w:ascii="宋体" w:eastAsia="宋体" w:hAnsi="宋体" w:cs="宋体" w:hint="eastAsia"/>
          <w:sz w:val="24"/>
          <w:lang w:val="en-US"/>
        </w:rPr>
        <w:t>2</w:t>
      </w:r>
      <w:r>
        <w:rPr>
          <w:rFonts w:ascii="宋体" w:eastAsia="宋体" w:hAnsi="宋体" w:cs="宋体" w:hint="eastAsia"/>
          <w:sz w:val="24"/>
          <w:lang w:val="en-US"/>
        </w:rPr>
        <w:t>年以上本厂商同等项目实施经验。项目实施阶段，驻场实施工程师不得少于</w:t>
      </w:r>
      <w:r>
        <w:rPr>
          <w:rFonts w:ascii="宋体" w:eastAsia="宋体" w:hAnsi="宋体" w:cs="宋体"/>
          <w:color w:val="FF0000"/>
          <w:sz w:val="24"/>
          <w:lang w:val="en-US"/>
        </w:rPr>
        <w:t>2</w:t>
      </w:r>
      <w:r>
        <w:rPr>
          <w:rFonts w:ascii="宋体" w:eastAsia="宋体" w:hAnsi="宋体" w:cs="宋体" w:hint="eastAsia"/>
          <w:sz w:val="24"/>
          <w:lang w:val="en-US"/>
        </w:rPr>
        <w:t>名。</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开发工程师：项目开发工程师需有</w:t>
      </w:r>
      <w:r>
        <w:rPr>
          <w:rFonts w:ascii="宋体" w:eastAsia="宋体" w:hAnsi="宋体" w:cs="宋体" w:hint="eastAsia"/>
          <w:sz w:val="24"/>
          <w:lang w:val="en-US"/>
        </w:rPr>
        <w:t>2</w:t>
      </w:r>
      <w:r>
        <w:rPr>
          <w:rFonts w:ascii="宋体" w:eastAsia="宋体" w:hAnsi="宋体" w:cs="宋体" w:hint="eastAsia"/>
          <w:sz w:val="24"/>
          <w:lang w:val="en-US"/>
        </w:rPr>
        <w:t>年以上本厂商同类型项目开发经验。项目实施和上线阶段，如不能按项目阶段计划正常开展工作的，驻场开发人员不得少于</w:t>
      </w:r>
      <w:r>
        <w:rPr>
          <w:rFonts w:ascii="宋体" w:eastAsia="宋体" w:hAnsi="宋体" w:cs="宋体"/>
          <w:color w:val="FF0000"/>
          <w:sz w:val="24"/>
          <w:lang w:val="en-US"/>
        </w:rPr>
        <w:t>2</w:t>
      </w:r>
      <w:r>
        <w:rPr>
          <w:rFonts w:ascii="宋体" w:eastAsia="宋体" w:hAnsi="宋体" w:cs="宋体" w:hint="eastAsia"/>
          <w:sz w:val="24"/>
          <w:lang w:val="en-US"/>
        </w:rPr>
        <w:t>人。</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如需更换开发工程师、实施工程师，厂商需提交书面申请，经院方同意才可更换。</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竞标文件中需提供软件提供商项目驻场人员清单（含项目开发和项目实施人员），清单</w:t>
      </w:r>
      <w:r>
        <w:rPr>
          <w:rFonts w:ascii="宋体" w:eastAsia="宋体" w:hAnsi="宋体" w:cs="宋体" w:hint="eastAsia"/>
          <w:sz w:val="24"/>
          <w:lang w:val="en-US"/>
        </w:rPr>
        <w:t>中标明驻场人员详细信息，如姓名、联系方式、技术职称、</w:t>
      </w:r>
      <w:proofErr w:type="gramStart"/>
      <w:r>
        <w:rPr>
          <w:rFonts w:ascii="宋体" w:eastAsia="宋体" w:hAnsi="宋体" w:cs="宋体" w:hint="eastAsia"/>
          <w:sz w:val="24"/>
          <w:lang w:val="en-US"/>
        </w:rPr>
        <w:t>社保证明</w:t>
      </w:r>
      <w:proofErr w:type="gramEnd"/>
      <w:r>
        <w:rPr>
          <w:rFonts w:ascii="宋体" w:eastAsia="宋体" w:hAnsi="宋体" w:cs="宋体" w:hint="eastAsia"/>
          <w:sz w:val="24"/>
          <w:lang w:val="en-US"/>
        </w:rPr>
        <w:t>等。</w:t>
      </w:r>
    </w:p>
    <w:p w:rsidR="00B8642B" w:rsidRDefault="00E33715">
      <w:pPr>
        <w:ind w:firstLineChars="200" w:firstLine="480"/>
        <w:jc w:val="left"/>
        <w:rPr>
          <w:rFonts w:ascii="宋体" w:eastAsia="宋体" w:hAnsi="宋体" w:cs="宋体"/>
          <w:sz w:val="24"/>
          <w:szCs w:val="24"/>
        </w:rPr>
      </w:pPr>
      <w:r>
        <w:rPr>
          <w:rFonts w:ascii="宋体" w:eastAsia="宋体" w:hAnsi="宋体" w:cs="宋体" w:hint="eastAsia"/>
          <w:sz w:val="24"/>
          <w:szCs w:val="24"/>
        </w:rPr>
        <w:t>4.3</w:t>
      </w:r>
      <w:r>
        <w:rPr>
          <w:rFonts w:ascii="宋体" w:eastAsia="宋体" w:hAnsi="宋体" w:cs="宋体" w:hint="eastAsia"/>
          <w:sz w:val="24"/>
          <w:szCs w:val="24"/>
        </w:rPr>
        <w:t>因厂商与院方存在对需求理解有差异的可能性，要求所有软件功能需求的响应以院方意见为准。</w:t>
      </w:r>
    </w:p>
    <w:p w:rsidR="00B8642B" w:rsidRDefault="00B8642B">
      <w:pPr>
        <w:pStyle w:val="a0"/>
        <w:rPr>
          <w:lang w:val="en-US"/>
        </w:rPr>
      </w:pPr>
    </w:p>
    <w:p w:rsidR="00B8642B" w:rsidRDefault="00E33715">
      <w:pPr>
        <w:pStyle w:val="ab"/>
        <w:numPr>
          <w:ilvl w:val="0"/>
          <w:numId w:val="2"/>
        </w:numPr>
        <w:ind w:firstLineChars="0"/>
        <w:rPr>
          <w:rFonts w:ascii="宋体" w:eastAsia="宋体" w:hAnsi="宋体"/>
          <w:b/>
          <w:sz w:val="28"/>
          <w:szCs w:val="28"/>
        </w:rPr>
      </w:pPr>
      <w:bookmarkStart w:id="1" w:name="_Toc507405798"/>
      <w:r>
        <w:rPr>
          <w:rFonts w:ascii="宋体" w:eastAsia="宋体" w:hAnsi="宋体" w:hint="eastAsia"/>
          <w:b/>
          <w:sz w:val="28"/>
          <w:szCs w:val="28"/>
        </w:rPr>
        <w:t>售后服务及其他要求</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5.1</w:t>
      </w:r>
      <w:r>
        <w:rPr>
          <w:rFonts w:ascii="宋体" w:eastAsia="宋体" w:hAnsi="宋体" w:cs="宋体" w:hint="eastAsia"/>
          <w:sz w:val="24"/>
          <w:lang w:val="en-US"/>
        </w:rPr>
        <w:t>自本项目整体最终验收之日起，所有产品要求提供三年的免费质保服务。含软硬件维护和系统软件升级、技术支持服务、系统管理及操作培训，免费提供系统个性化修改需求。请详细说明售后服务的内容。</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5.2</w:t>
      </w:r>
      <w:r>
        <w:rPr>
          <w:rFonts w:ascii="宋体" w:eastAsia="宋体" w:hAnsi="宋体" w:cs="宋体" w:hint="eastAsia"/>
          <w:sz w:val="24"/>
          <w:lang w:val="en-US"/>
        </w:rPr>
        <w:t>安装调试要求：免费送货上门、安装调试、提供完善的设备及软件系统使用中文操作手册、图纸、网络详细拓扑图、系统配置、功能配置、设备配置及互联记录；</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5.3</w:t>
      </w:r>
      <w:r>
        <w:rPr>
          <w:rFonts w:ascii="宋体" w:eastAsia="宋体" w:hAnsi="宋体" w:cs="宋体" w:hint="eastAsia"/>
          <w:sz w:val="24"/>
          <w:lang w:val="en-US"/>
        </w:rPr>
        <w:t>原厂技术人员免费提供售后服务，含电话支持、现场响应、远程操作、网上客</w:t>
      </w:r>
      <w:proofErr w:type="gramStart"/>
      <w:r>
        <w:rPr>
          <w:rFonts w:ascii="宋体" w:eastAsia="宋体" w:hAnsi="宋体" w:cs="宋体" w:hint="eastAsia"/>
          <w:sz w:val="24"/>
          <w:lang w:val="en-US"/>
        </w:rPr>
        <w:t>服中心</w:t>
      </w:r>
      <w:proofErr w:type="gramEnd"/>
      <w:r>
        <w:rPr>
          <w:rFonts w:ascii="宋体" w:eastAsia="宋体" w:hAnsi="宋体" w:cs="宋体" w:hint="eastAsia"/>
          <w:sz w:val="24"/>
          <w:lang w:val="en-US"/>
        </w:rPr>
        <w:t>等多种方式服务，应做到</w:t>
      </w:r>
      <w:r>
        <w:rPr>
          <w:rFonts w:ascii="宋体" w:eastAsia="宋体" w:hAnsi="宋体" w:cs="宋体" w:hint="eastAsia"/>
          <w:sz w:val="24"/>
          <w:lang w:val="en-US"/>
        </w:rPr>
        <w:t>7</w:t>
      </w:r>
      <w:r>
        <w:rPr>
          <w:rFonts w:ascii="宋体" w:eastAsia="宋体" w:hAnsi="宋体" w:cs="宋体" w:hint="eastAsia"/>
          <w:sz w:val="24"/>
          <w:lang w:val="en-US"/>
        </w:rPr>
        <w:t>×</w:t>
      </w:r>
      <w:r>
        <w:rPr>
          <w:rFonts w:ascii="宋体" w:eastAsia="宋体" w:hAnsi="宋体" w:cs="宋体" w:hint="eastAsia"/>
          <w:sz w:val="24"/>
          <w:lang w:val="en-US"/>
        </w:rPr>
        <w:t>24</w:t>
      </w:r>
      <w:r>
        <w:rPr>
          <w:rFonts w:ascii="宋体" w:eastAsia="宋体" w:hAnsi="宋体" w:cs="宋体" w:hint="eastAsia"/>
          <w:sz w:val="24"/>
          <w:lang w:val="en-US"/>
        </w:rPr>
        <w:t>小时全天候电话</w:t>
      </w:r>
      <w:proofErr w:type="gramStart"/>
      <w:r>
        <w:rPr>
          <w:rFonts w:ascii="宋体" w:eastAsia="宋体" w:hAnsi="宋体" w:cs="宋体" w:hint="eastAsia"/>
          <w:sz w:val="24"/>
          <w:lang w:val="en-US"/>
        </w:rPr>
        <w:t>或微信等</w:t>
      </w:r>
      <w:proofErr w:type="gramEnd"/>
      <w:r>
        <w:rPr>
          <w:rFonts w:ascii="宋体" w:eastAsia="宋体" w:hAnsi="宋体" w:cs="宋体" w:hint="eastAsia"/>
          <w:sz w:val="24"/>
          <w:lang w:val="en-US"/>
        </w:rPr>
        <w:t>常用联系方式响应。当出现故障时，接到故障通知后，原厂技术人员应在</w:t>
      </w:r>
      <w:r>
        <w:rPr>
          <w:rFonts w:ascii="宋体" w:eastAsia="宋体" w:hAnsi="宋体" w:cs="宋体" w:hint="eastAsia"/>
          <w:sz w:val="24"/>
          <w:lang w:val="en-US"/>
        </w:rPr>
        <w:t>30</w:t>
      </w:r>
      <w:r>
        <w:rPr>
          <w:rFonts w:ascii="宋体" w:eastAsia="宋体" w:hAnsi="宋体" w:cs="宋体" w:hint="eastAsia"/>
          <w:sz w:val="24"/>
          <w:lang w:val="en-US"/>
        </w:rPr>
        <w:t>分钟内响应，远程技术支持无法解决的，</w:t>
      </w:r>
      <w:r>
        <w:rPr>
          <w:rFonts w:ascii="宋体" w:eastAsia="宋体" w:hAnsi="宋体" w:cs="宋体" w:hint="eastAsia"/>
          <w:sz w:val="24"/>
          <w:lang w:val="en-US"/>
        </w:rPr>
        <w:t>6</w:t>
      </w:r>
      <w:r>
        <w:rPr>
          <w:rFonts w:ascii="宋体" w:eastAsia="宋体" w:hAnsi="宋体" w:cs="宋体" w:hint="eastAsia"/>
          <w:sz w:val="24"/>
          <w:lang w:val="en-US"/>
        </w:rPr>
        <w:t>小时内需到达现场处理修复，并调查分析事故原因。</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5.4</w:t>
      </w:r>
      <w:r>
        <w:rPr>
          <w:rFonts w:ascii="宋体" w:eastAsia="宋体" w:hAnsi="宋体" w:cs="宋体" w:hint="eastAsia"/>
          <w:sz w:val="24"/>
          <w:lang w:val="en-US"/>
        </w:rPr>
        <w:t>供应商提供原厂技术人员定期回访服务，定期通过电话或其他方式访问用户，了</w:t>
      </w:r>
      <w:r>
        <w:rPr>
          <w:rFonts w:ascii="宋体" w:eastAsia="宋体" w:hAnsi="宋体" w:cs="宋体" w:hint="eastAsia"/>
          <w:sz w:val="24"/>
          <w:lang w:val="en-US"/>
        </w:rPr>
        <w:t>解产品使用情况及网络安全情况，须在每半年至少进行一次巡检，并形成书</w:t>
      </w:r>
      <w:r>
        <w:rPr>
          <w:rFonts w:ascii="宋体" w:eastAsia="宋体" w:hAnsi="宋体" w:cs="宋体" w:hint="eastAsia"/>
          <w:sz w:val="24"/>
          <w:lang w:val="en-US"/>
        </w:rPr>
        <w:lastRenderedPageBreak/>
        <w:t>面巡检服务报告，加盖有效公章并反馈给我院（要求提供巡检报告模板，内容涉及此项目相关设备的运行情况及现场巡检照片）。</w:t>
      </w:r>
    </w:p>
    <w:p w:rsidR="00B8642B" w:rsidRDefault="00B8642B">
      <w:pPr>
        <w:pStyle w:val="a0"/>
        <w:ind w:firstLine="420"/>
        <w:rPr>
          <w:rFonts w:ascii="宋体" w:eastAsia="宋体" w:hAnsi="宋体" w:cs="宋体"/>
          <w:sz w:val="24"/>
          <w:lang w:val="en-US"/>
        </w:rPr>
      </w:pPr>
    </w:p>
    <w:p w:rsidR="00B8642B" w:rsidRDefault="00E33715">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违约责任</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6.1</w:t>
      </w:r>
      <w:r>
        <w:rPr>
          <w:rFonts w:ascii="宋体" w:eastAsia="宋体" w:hAnsi="宋体" w:cs="宋体" w:hint="eastAsia"/>
          <w:sz w:val="24"/>
          <w:lang w:val="en-US"/>
        </w:rPr>
        <w:t>投标方所提供的软件功能与技术参数文件、投标文件不符合的，应及时更换，更换不及时的按逾期交付处罚；因质量问题甲方不同意接收，投标方应向甲方支付违约货款额</w:t>
      </w:r>
      <w:r>
        <w:rPr>
          <w:rFonts w:ascii="宋体" w:eastAsia="宋体" w:hAnsi="宋体" w:cs="宋体" w:hint="eastAsia"/>
          <w:sz w:val="24"/>
          <w:lang w:val="en-US"/>
        </w:rPr>
        <w:t>5%</w:t>
      </w:r>
      <w:r>
        <w:rPr>
          <w:rFonts w:ascii="宋体" w:eastAsia="宋体" w:hAnsi="宋体" w:cs="宋体" w:hint="eastAsia"/>
          <w:sz w:val="24"/>
          <w:lang w:val="en-US"/>
        </w:rPr>
        <w:t>违约金并赔偿甲方经济损失。</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6.2</w:t>
      </w:r>
      <w:r>
        <w:rPr>
          <w:rFonts w:ascii="宋体" w:eastAsia="宋体" w:hAnsi="宋体" w:cs="宋体" w:hint="eastAsia"/>
          <w:sz w:val="24"/>
          <w:lang w:val="en-US"/>
        </w:rPr>
        <w:t>投标方提供的系统如侵犯了第三方合法权益而引发的任何纠纷或诉讼，均由投标方负责交涉并承担全部责任。</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w:t>
      </w:r>
      <w:r>
        <w:rPr>
          <w:rFonts w:ascii="宋体" w:eastAsia="宋体" w:hAnsi="宋体" w:cs="宋体"/>
          <w:sz w:val="24"/>
          <w:lang w:val="en-US"/>
        </w:rPr>
        <w:t>3</w:t>
      </w:r>
      <w:r>
        <w:rPr>
          <w:rFonts w:ascii="宋体" w:eastAsia="宋体" w:hAnsi="宋体" w:cs="宋体" w:hint="eastAsia"/>
          <w:sz w:val="24"/>
          <w:lang w:val="en-US"/>
        </w:rPr>
        <w:t> </w:t>
      </w:r>
      <w:r>
        <w:rPr>
          <w:rFonts w:ascii="宋体" w:eastAsia="宋体" w:hAnsi="宋体" w:cs="宋体" w:hint="eastAsia"/>
          <w:sz w:val="24"/>
          <w:lang w:val="en-US"/>
        </w:rPr>
        <w:t>投标方逾期交付的，</w:t>
      </w:r>
      <w:r>
        <w:rPr>
          <w:rFonts w:ascii="宋体" w:eastAsia="宋体" w:hAnsi="宋体" w:cs="宋体" w:hint="eastAsia"/>
          <w:sz w:val="24"/>
          <w:lang w:val="en-US"/>
        </w:rPr>
        <w:t>每天向甲方偿付违约货款额</w:t>
      </w:r>
      <w:r>
        <w:rPr>
          <w:rFonts w:ascii="宋体" w:eastAsia="宋体" w:hAnsi="宋体" w:cs="宋体" w:hint="eastAsia"/>
          <w:sz w:val="24"/>
          <w:lang w:val="en-US"/>
        </w:rPr>
        <w:t>3</w:t>
      </w:r>
      <w:r>
        <w:rPr>
          <w:rFonts w:ascii="宋体" w:eastAsia="宋体" w:hAnsi="宋体" w:cs="宋体" w:hint="eastAsia"/>
          <w:sz w:val="24"/>
          <w:lang w:val="en-US"/>
        </w:rPr>
        <w:t>‰违约金，但违约金累计不得超过违约货款额</w:t>
      </w:r>
      <w:r>
        <w:rPr>
          <w:rFonts w:ascii="宋体" w:eastAsia="宋体" w:hAnsi="宋体" w:cs="宋体" w:hint="eastAsia"/>
          <w:sz w:val="24"/>
          <w:lang w:val="en-US"/>
        </w:rPr>
        <w:t xml:space="preserve"> 5% </w:t>
      </w:r>
      <w:r>
        <w:rPr>
          <w:rFonts w:ascii="宋体" w:eastAsia="宋体" w:hAnsi="宋体" w:cs="宋体" w:hint="eastAsia"/>
          <w:sz w:val="24"/>
          <w:lang w:val="en-US"/>
        </w:rPr>
        <w:t>，超过</w:t>
      </w:r>
      <w:r>
        <w:rPr>
          <w:rFonts w:ascii="宋体" w:eastAsia="宋体" w:hAnsi="宋体" w:cs="宋体" w:hint="eastAsia"/>
          <w:sz w:val="24"/>
          <w:lang w:val="en-US"/>
        </w:rPr>
        <w:t>30</w:t>
      </w:r>
      <w:r>
        <w:rPr>
          <w:rFonts w:ascii="宋体" w:eastAsia="宋体" w:hAnsi="宋体" w:cs="宋体" w:hint="eastAsia"/>
          <w:sz w:val="24"/>
          <w:lang w:val="en-US"/>
        </w:rPr>
        <w:t>天对方有权解除合同，违约方承担因此给对方造成的经济损失；</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6.5</w:t>
      </w:r>
      <w:r>
        <w:rPr>
          <w:rFonts w:ascii="宋体" w:eastAsia="宋体" w:hAnsi="宋体" w:cs="宋体" w:hint="eastAsia"/>
          <w:sz w:val="24"/>
          <w:lang w:val="en-US"/>
        </w:rPr>
        <w:t>售后服务违约：</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6.5.1</w:t>
      </w:r>
      <w:r>
        <w:rPr>
          <w:rFonts w:ascii="宋体" w:eastAsia="宋体" w:hAnsi="宋体" w:cs="宋体" w:hint="eastAsia"/>
          <w:sz w:val="24"/>
          <w:lang w:val="en-US"/>
        </w:rPr>
        <w:t>每缺少</w:t>
      </w:r>
      <w:r>
        <w:rPr>
          <w:rFonts w:ascii="宋体" w:eastAsia="宋体" w:hAnsi="宋体" w:cs="宋体" w:hint="eastAsia"/>
          <w:sz w:val="24"/>
          <w:lang w:val="en-US"/>
        </w:rPr>
        <w:t>1</w:t>
      </w:r>
      <w:r>
        <w:rPr>
          <w:rFonts w:ascii="宋体" w:eastAsia="宋体" w:hAnsi="宋体" w:cs="宋体" w:hint="eastAsia"/>
          <w:sz w:val="24"/>
          <w:lang w:val="en-US"/>
        </w:rPr>
        <w:t>次巡检记录，投标方应向甲方支付违约金</w:t>
      </w:r>
      <w:r>
        <w:rPr>
          <w:rFonts w:ascii="宋体" w:eastAsia="宋体" w:hAnsi="宋体" w:cs="宋体"/>
          <w:sz w:val="24"/>
          <w:lang w:val="en-US"/>
        </w:rPr>
        <w:t>10</w:t>
      </w:r>
      <w:r>
        <w:rPr>
          <w:rFonts w:ascii="宋体" w:eastAsia="宋体" w:hAnsi="宋体" w:cs="宋体" w:hint="eastAsia"/>
          <w:sz w:val="24"/>
          <w:lang w:val="en-US"/>
        </w:rPr>
        <w:t>000</w:t>
      </w:r>
      <w:r>
        <w:rPr>
          <w:rFonts w:ascii="宋体" w:eastAsia="宋体" w:hAnsi="宋体" w:cs="宋体" w:hint="eastAsia"/>
          <w:sz w:val="24"/>
          <w:lang w:val="en-US"/>
        </w:rPr>
        <w:t>元；</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6.5.</w:t>
      </w:r>
      <w:r>
        <w:rPr>
          <w:rFonts w:ascii="宋体" w:eastAsia="宋体" w:hAnsi="宋体" w:cs="宋体"/>
          <w:sz w:val="24"/>
          <w:lang w:val="en-US"/>
        </w:rPr>
        <w:t>2</w:t>
      </w:r>
      <w:r>
        <w:rPr>
          <w:rFonts w:ascii="宋体" w:eastAsia="宋体" w:hAnsi="宋体" w:cs="宋体" w:hint="eastAsia"/>
          <w:sz w:val="24"/>
          <w:lang w:val="en-US"/>
        </w:rPr>
        <w:t> </w:t>
      </w:r>
      <w:r>
        <w:rPr>
          <w:rFonts w:ascii="宋体" w:eastAsia="宋体" w:hAnsi="宋体" w:cs="宋体" w:hint="eastAsia"/>
          <w:sz w:val="24"/>
          <w:lang w:val="en-US"/>
        </w:rPr>
        <w:t>投标方未按本技术要求和响应文件中规定的其他服务承诺提供售后服务的，每次投标方应按合同合计金额的</w:t>
      </w:r>
      <w:r>
        <w:rPr>
          <w:rFonts w:ascii="宋体" w:eastAsia="宋体" w:hAnsi="宋体" w:cs="宋体" w:hint="eastAsia"/>
          <w:sz w:val="24"/>
          <w:lang w:val="en-US"/>
        </w:rPr>
        <w:t xml:space="preserve">5% </w:t>
      </w:r>
      <w:r>
        <w:rPr>
          <w:rFonts w:ascii="宋体" w:eastAsia="宋体" w:hAnsi="宋体" w:cs="宋体" w:hint="eastAsia"/>
          <w:sz w:val="24"/>
          <w:lang w:val="en-US"/>
        </w:rPr>
        <w:t>向甲方支付违约金。</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6.6</w:t>
      </w:r>
      <w:r>
        <w:rPr>
          <w:rFonts w:ascii="宋体" w:eastAsia="宋体" w:hAnsi="宋体" w:cs="宋体" w:hint="eastAsia"/>
          <w:sz w:val="24"/>
          <w:lang w:val="en-US"/>
        </w:rPr>
        <w:t>合同签订后</w:t>
      </w:r>
      <w:r>
        <w:rPr>
          <w:rFonts w:ascii="宋体" w:eastAsia="宋体" w:hAnsi="宋体" w:cs="宋体" w:hint="eastAsia"/>
          <w:sz w:val="24"/>
          <w:lang w:val="en-US"/>
        </w:rPr>
        <w:t>7</w:t>
      </w:r>
      <w:r>
        <w:rPr>
          <w:rFonts w:ascii="宋体" w:eastAsia="宋体" w:hAnsi="宋体" w:cs="宋体" w:hint="eastAsia"/>
          <w:sz w:val="24"/>
          <w:lang w:val="en-US"/>
        </w:rPr>
        <w:t>个工作日内进场实施，每个模块计划实施周期需在合同内写明。</w:t>
      </w:r>
      <w:proofErr w:type="gramStart"/>
      <w:r>
        <w:rPr>
          <w:rFonts w:ascii="宋体" w:eastAsia="宋体" w:hAnsi="宋体" w:cs="宋体" w:hint="eastAsia"/>
          <w:sz w:val="24"/>
          <w:lang w:val="en-US"/>
        </w:rPr>
        <w:t>因软件</w:t>
      </w:r>
      <w:proofErr w:type="gramEnd"/>
      <w:r>
        <w:rPr>
          <w:rFonts w:ascii="宋体" w:eastAsia="宋体" w:hAnsi="宋体" w:cs="宋体" w:hint="eastAsia"/>
          <w:sz w:val="24"/>
          <w:lang w:val="en-US"/>
        </w:rPr>
        <w:t>提供商原因逾期</w:t>
      </w:r>
      <w:proofErr w:type="gramStart"/>
      <w:r>
        <w:rPr>
          <w:rFonts w:ascii="宋体" w:eastAsia="宋体" w:hAnsi="宋体" w:cs="宋体" w:hint="eastAsia"/>
          <w:sz w:val="24"/>
          <w:lang w:val="en-US"/>
        </w:rPr>
        <w:t>不</w:t>
      </w:r>
      <w:proofErr w:type="gramEnd"/>
      <w:r>
        <w:rPr>
          <w:rFonts w:ascii="宋体" w:eastAsia="宋体" w:hAnsi="宋体" w:cs="宋体" w:hint="eastAsia"/>
          <w:sz w:val="24"/>
          <w:lang w:val="en-US"/>
        </w:rPr>
        <w:t>进场实施的，需按每天向院方支付合同款金额</w:t>
      </w:r>
      <w:r>
        <w:rPr>
          <w:rFonts w:ascii="宋体" w:eastAsia="宋体" w:hAnsi="宋体" w:cs="宋体" w:hint="eastAsia"/>
          <w:sz w:val="24"/>
          <w:lang w:val="en-US"/>
        </w:rPr>
        <w:t>3</w:t>
      </w:r>
      <w:r>
        <w:rPr>
          <w:rFonts w:ascii="宋体" w:eastAsia="宋体" w:hAnsi="宋体" w:cs="宋体" w:hint="eastAsia"/>
          <w:sz w:val="24"/>
          <w:lang w:val="en-US"/>
        </w:rPr>
        <w:t>‰作为违</w:t>
      </w:r>
      <w:r>
        <w:rPr>
          <w:rFonts w:ascii="宋体" w:eastAsia="宋体" w:hAnsi="宋体" w:cs="宋体" w:hint="eastAsia"/>
          <w:sz w:val="24"/>
          <w:lang w:val="en-US"/>
        </w:rPr>
        <w:t>约金，超过</w:t>
      </w:r>
      <w:r>
        <w:rPr>
          <w:rFonts w:ascii="宋体" w:eastAsia="宋体" w:hAnsi="宋体" w:cs="宋体" w:hint="eastAsia"/>
          <w:sz w:val="24"/>
          <w:lang w:val="en-US"/>
        </w:rPr>
        <w:t>30</w:t>
      </w:r>
      <w:r>
        <w:rPr>
          <w:rFonts w:ascii="宋体" w:eastAsia="宋体" w:hAnsi="宋体" w:cs="宋体" w:hint="eastAsia"/>
          <w:sz w:val="24"/>
          <w:lang w:val="en-US"/>
        </w:rPr>
        <w:t>天，甲有权解除合同，乙方需承担因此给院方造成的经济损失；不能按照合同约定上线期限完成，需要书面申请说明原因，得到医院书面同意后最多延期一个月，否则（或者延期一个月后）按每超期</w:t>
      </w:r>
      <w:r>
        <w:rPr>
          <w:rFonts w:ascii="宋体" w:eastAsia="宋体" w:hAnsi="宋体" w:cs="宋体" w:hint="eastAsia"/>
          <w:sz w:val="24"/>
          <w:lang w:val="en-US"/>
        </w:rPr>
        <w:t>7</w:t>
      </w:r>
      <w:r>
        <w:rPr>
          <w:rFonts w:ascii="宋体" w:eastAsia="宋体" w:hAnsi="宋体" w:cs="宋体" w:hint="eastAsia"/>
          <w:sz w:val="24"/>
          <w:lang w:val="en-US"/>
        </w:rPr>
        <w:t>天（一周）从总合同金额扣除</w:t>
      </w:r>
      <w:r>
        <w:rPr>
          <w:rFonts w:ascii="宋体" w:eastAsia="宋体" w:hAnsi="宋体" w:cs="宋体" w:hint="eastAsia"/>
          <w:sz w:val="24"/>
          <w:lang w:val="en-US"/>
        </w:rPr>
        <w:t>5%</w:t>
      </w:r>
      <w:r>
        <w:rPr>
          <w:rFonts w:ascii="宋体" w:eastAsia="宋体" w:hAnsi="宋体" w:cs="宋体" w:hint="eastAsia"/>
          <w:sz w:val="24"/>
          <w:lang w:val="en-US"/>
        </w:rPr>
        <w:t>的违约金。扣除比例达到总合同金额的</w:t>
      </w:r>
      <w:r>
        <w:rPr>
          <w:rFonts w:ascii="宋体" w:eastAsia="宋体" w:hAnsi="宋体" w:cs="宋体" w:hint="eastAsia"/>
          <w:sz w:val="24"/>
          <w:lang w:val="en-US"/>
        </w:rPr>
        <w:t>50%</w:t>
      </w:r>
      <w:r>
        <w:rPr>
          <w:rFonts w:ascii="宋体" w:eastAsia="宋体" w:hAnsi="宋体" w:cs="宋体" w:hint="eastAsia"/>
          <w:sz w:val="24"/>
          <w:lang w:val="en-US"/>
        </w:rPr>
        <w:t>及以上的，视为乙方违约，甲方有权单方面解除合同，并要求乙方退回所有医院已支付款项，同时按合同总金额的</w:t>
      </w:r>
      <w:r>
        <w:rPr>
          <w:rFonts w:ascii="宋体" w:eastAsia="宋体" w:hAnsi="宋体" w:cs="宋体" w:hint="eastAsia"/>
          <w:sz w:val="24"/>
          <w:lang w:val="en-US"/>
        </w:rPr>
        <w:t>20%</w:t>
      </w:r>
      <w:proofErr w:type="gramStart"/>
      <w:r>
        <w:rPr>
          <w:rFonts w:ascii="宋体" w:eastAsia="宋体" w:hAnsi="宋体" w:cs="宋体" w:hint="eastAsia"/>
          <w:sz w:val="24"/>
          <w:lang w:val="en-US"/>
        </w:rPr>
        <w:t>做为</w:t>
      </w:r>
      <w:proofErr w:type="gramEnd"/>
      <w:r>
        <w:rPr>
          <w:rFonts w:ascii="宋体" w:eastAsia="宋体" w:hAnsi="宋体" w:cs="宋体" w:hint="eastAsia"/>
          <w:sz w:val="24"/>
          <w:lang w:val="en-US"/>
        </w:rPr>
        <w:t>违约金支付给甲方。</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6.7</w:t>
      </w:r>
      <w:r>
        <w:rPr>
          <w:rFonts w:ascii="宋体" w:eastAsia="宋体" w:hAnsi="宋体" w:cs="宋体" w:hint="eastAsia"/>
          <w:sz w:val="24"/>
          <w:lang w:val="en-US"/>
        </w:rPr>
        <w:t>任何一方违反本技术要求中“保密、廉洁条款”要求的，应承担相应的违约责任并赔偿由此造成的损失，损失累计金额超过合同款项</w:t>
      </w:r>
      <w:r>
        <w:rPr>
          <w:rFonts w:ascii="宋体" w:eastAsia="宋体" w:hAnsi="宋体" w:cs="宋体" w:hint="eastAsia"/>
          <w:sz w:val="24"/>
          <w:lang w:val="en-US"/>
        </w:rPr>
        <w:t>的</w:t>
      </w:r>
      <w:r>
        <w:rPr>
          <w:rFonts w:ascii="宋体" w:eastAsia="宋体" w:hAnsi="宋体" w:cs="宋体" w:hint="eastAsia"/>
          <w:sz w:val="24"/>
          <w:lang w:val="en-US"/>
        </w:rPr>
        <w:t>5%</w:t>
      </w:r>
      <w:r>
        <w:rPr>
          <w:rFonts w:ascii="宋体" w:eastAsia="宋体" w:hAnsi="宋体" w:cs="宋体" w:hint="eastAsia"/>
          <w:sz w:val="24"/>
          <w:lang w:val="en-US"/>
        </w:rPr>
        <w:t>的，损失方同时有权终止合同并收回已付款项。</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6.8</w:t>
      </w:r>
      <w:r>
        <w:rPr>
          <w:rFonts w:ascii="宋体" w:eastAsia="宋体" w:hAnsi="宋体" w:cs="宋体" w:hint="eastAsia"/>
          <w:sz w:val="24"/>
          <w:lang w:val="en-US"/>
        </w:rPr>
        <w:t>厂商方未按本技术要求和响应文件中规定的其他服务承诺提供售后服务的，按损失情况，每次应按合同合计金额的</w:t>
      </w:r>
      <w:r>
        <w:rPr>
          <w:rFonts w:ascii="宋体" w:eastAsia="宋体" w:hAnsi="宋体" w:cs="宋体" w:hint="eastAsia"/>
          <w:sz w:val="24"/>
          <w:lang w:val="en-US"/>
        </w:rPr>
        <w:t>0.1</w:t>
      </w:r>
      <w:r>
        <w:rPr>
          <w:rFonts w:ascii="宋体" w:eastAsia="宋体" w:hAnsi="宋体" w:cs="宋体" w:hint="eastAsia"/>
          <w:sz w:val="24"/>
          <w:lang w:val="en-US"/>
        </w:rPr>
        <w:t>‰</w:t>
      </w:r>
      <w:r>
        <w:rPr>
          <w:rFonts w:ascii="宋体" w:eastAsia="宋体" w:hAnsi="宋体" w:cs="宋体" w:hint="eastAsia"/>
          <w:sz w:val="24"/>
          <w:lang w:val="en-US"/>
        </w:rPr>
        <w:t>-0.1%</w:t>
      </w:r>
      <w:r>
        <w:rPr>
          <w:rFonts w:ascii="宋体" w:eastAsia="宋体" w:hAnsi="宋体" w:cs="宋体" w:hint="eastAsia"/>
          <w:sz w:val="24"/>
          <w:lang w:val="en-US"/>
        </w:rPr>
        <w:t>由乙方向甲方支付违约金，损失累计金额超过合同款项的</w:t>
      </w:r>
      <w:r>
        <w:rPr>
          <w:rFonts w:ascii="宋体" w:eastAsia="宋体" w:hAnsi="宋体" w:cs="宋体" w:hint="eastAsia"/>
          <w:sz w:val="24"/>
          <w:lang w:val="en-US"/>
        </w:rPr>
        <w:t>5%</w:t>
      </w:r>
      <w:r>
        <w:rPr>
          <w:rFonts w:ascii="宋体" w:eastAsia="宋体" w:hAnsi="宋体" w:cs="宋体" w:hint="eastAsia"/>
          <w:sz w:val="24"/>
          <w:lang w:val="en-US"/>
        </w:rPr>
        <w:t>的，损失方同时有权终止合同并收回已付款项。</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6.9</w:t>
      </w:r>
      <w:r>
        <w:rPr>
          <w:rFonts w:ascii="宋体" w:eastAsia="宋体" w:hAnsi="宋体" w:cs="宋体" w:hint="eastAsia"/>
          <w:sz w:val="24"/>
          <w:lang w:val="en-US"/>
        </w:rPr>
        <w:t>厂商不得在提供的软件系统中设置包括且不限于如：软件加密狗，时间锁，授权码等可以限制硬件及软件系统正常运行的措施，否则视为乙方违约，乙方需要支付医院违约金</w:t>
      </w:r>
      <w:r>
        <w:rPr>
          <w:rFonts w:ascii="宋体" w:eastAsia="宋体" w:hAnsi="宋体" w:cs="宋体" w:hint="eastAsia"/>
          <w:sz w:val="24"/>
          <w:lang w:val="en-US"/>
        </w:rPr>
        <w:t>200000</w:t>
      </w:r>
      <w:r>
        <w:rPr>
          <w:rFonts w:ascii="宋体" w:eastAsia="宋体" w:hAnsi="宋体" w:cs="宋体" w:hint="eastAsia"/>
          <w:sz w:val="24"/>
          <w:lang w:val="en-US"/>
        </w:rPr>
        <w:t>元（贰拾万元），在此基础上医院有权要求乙方退回甲方已支付的所有款项。如</w:t>
      </w:r>
      <w:r>
        <w:rPr>
          <w:rFonts w:ascii="宋体" w:eastAsia="宋体" w:hAnsi="宋体" w:cs="宋体" w:hint="eastAsia"/>
          <w:sz w:val="24"/>
          <w:lang w:val="en-US"/>
        </w:rPr>
        <w:t>对医院造成损失的，甲方有权要求乙方赔偿。</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6.10</w:t>
      </w:r>
      <w:r>
        <w:rPr>
          <w:rFonts w:ascii="宋体" w:eastAsia="宋体" w:hAnsi="宋体" w:cs="宋体"/>
          <w:sz w:val="24"/>
          <w:lang w:val="en-US"/>
        </w:rPr>
        <w:t>厂商驻场工程师人员变更必须得到医院书面同意，否则视为</w:t>
      </w:r>
      <w:r>
        <w:rPr>
          <w:rFonts w:ascii="宋体" w:eastAsia="宋体" w:hAnsi="宋体" w:cs="宋体" w:hint="eastAsia"/>
          <w:sz w:val="24"/>
          <w:lang w:val="en-US"/>
        </w:rPr>
        <w:t>乙方</w:t>
      </w:r>
      <w:r>
        <w:rPr>
          <w:rFonts w:ascii="宋体" w:eastAsia="宋体" w:hAnsi="宋体" w:cs="宋体"/>
          <w:sz w:val="24"/>
          <w:lang w:val="en-US"/>
        </w:rPr>
        <w:t>违约，</w:t>
      </w:r>
      <w:r>
        <w:rPr>
          <w:rFonts w:ascii="宋体" w:eastAsia="宋体" w:hAnsi="宋体" w:cs="宋体" w:hint="eastAsia"/>
          <w:sz w:val="24"/>
          <w:lang w:val="en-US"/>
        </w:rPr>
        <w:t>甲</w:t>
      </w:r>
      <w:r>
        <w:rPr>
          <w:rFonts w:ascii="宋体" w:eastAsia="宋体" w:hAnsi="宋体" w:cs="宋体"/>
          <w:sz w:val="24"/>
          <w:lang w:val="en-US"/>
        </w:rPr>
        <w:t>方有权按</w:t>
      </w:r>
      <w:r>
        <w:rPr>
          <w:rFonts w:ascii="宋体" w:eastAsia="宋体" w:hAnsi="宋体" w:cs="宋体"/>
          <w:sz w:val="24"/>
          <w:lang w:val="en-US"/>
        </w:rPr>
        <w:t>500</w:t>
      </w:r>
      <w:r>
        <w:rPr>
          <w:rFonts w:ascii="宋体" w:eastAsia="宋体" w:hAnsi="宋体" w:cs="宋体" w:hint="eastAsia"/>
          <w:sz w:val="24"/>
          <w:lang w:val="en-US"/>
        </w:rPr>
        <w:t>0</w:t>
      </w:r>
      <w:r>
        <w:rPr>
          <w:rFonts w:ascii="宋体" w:eastAsia="宋体" w:hAnsi="宋体" w:cs="宋体"/>
          <w:sz w:val="24"/>
          <w:lang w:val="en-US"/>
        </w:rPr>
        <w:t>0</w:t>
      </w:r>
      <w:r>
        <w:rPr>
          <w:rFonts w:ascii="宋体" w:eastAsia="宋体" w:hAnsi="宋体" w:cs="宋体"/>
          <w:sz w:val="24"/>
          <w:lang w:val="en-US"/>
        </w:rPr>
        <w:t>元</w:t>
      </w:r>
      <w:r>
        <w:rPr>
          <w:rFonts w:ascii="宋体" w:eastAsia="宋体" w:hAnsi="宋体" w:cs="宋体"/>
          <w:sz w:val="24"/>
          <w:lang w:val="en-US"/>
        </w:rPr>
        <w:t>/</w:t>
      </w:r>
      <w:r>
        <w:rPr>
          <w:rFonts w:ascii="宋体" w:eastAsia="宋体" w:hAnsi="宋体" w:cs="宋体"/>
          <w:sz w:val="24"/>
          <w:lang w:val="en-US"/>
        </w:rPr>
        <w:t>人</w:t>
      </w:r>
      <w:r>
        <w:rPr>
          <w:rFonts w:ascii="宋体" w:eastAsia="宋体" w:hAnsi="宋体" w:cs="宋体"/>
          <w:sz w:val="24"/>
          <w:lang w:val="en-US"/>
        </w:rPr>
        <w:t>/</w:t>
      </w:r>
      <w:r>
        <w:rPr>
          <w:rFonts w:ascii="宋体" w:eastAsia="宋体" w:hAnsi="宋体" w:cs="宋体"/>
          <w:sz w:val="24"/>
          <w:lang w:val="en-US"/>
        </w:rPr>
        <w:t>次从合同总款中扣除</w:t>
      </w:r>
      <w:r>
        <w:rPr>
          <w:rFonts w:ascii="宋体" w:eastAsia="宋体" w:hAnsi="宋体" w:cs="宋体" w:hint="eastAsia"/>
          <w:sz w:val="24"/>
          <w:lang w:val="en-US"/>
        </w:rPr>
        <w:t>。</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6.11</w:t>
      </w:r>
      <w:r>
        <w:rPr>
          <w:rFonts w:ascii="宋体" w:eastAsia="宋体" w:hAnsi="宋体" w:cs="宋体" w:hint="eastAsia"/>
          <w:sz w:val="24"/>
          <w:lang w:val="en-US"/>
        </w:rPr>
        <w:t>如合同乙方非软件提供商，软件提供商需承担连带责任，即本技术参数中对乙方的所有约束要求、违约条件均等同于对软件提供商的要求，甲方在追究乙方</w:t>
      </w:r>
      <w:r>
        <w:rPr>
          <w:rFonts w:ascii="宋体" w:eastAsia="宋体" w:hAnsi="宋体" w:cs="宋体" w:hint="eastAsia"/>
          <w:sz w:val="24"/>
          <w:lang w:val="en-US"/>
        </w:rPr>
        <w:lastRenderedPageBreak/>
        <w:t>违约责任的同时可以同步追究软件提供商同等责任，乙方在投标时必须提供软件提供商的售后服务承诺书原件（须加盖软件提供商公章）。</w:t>
      </w:r>
    </w:p>
    <w:p w:rsidR="00B8642B" w:rsidRDefault="00B8642B">
      <w:pPr>
        <w:pStyle w:val="a0"/>
        <w:ind w:firstLine="420"/>
        <w:rPr>
          <w:rFonts w:ascii="宋体" w:eastAsia="宋体" w:hAnsi="宋体" w:cs="宋体"/>
          <w:sz w:val="24"/>
          <w:lang w:val="en-US"/>
        </w:rPr>
      </w:pPr>
    </w:p>
    <w:p w:rsidR="00B8642B" w:rsidRDefault="00E33715">
      <w:pPr>
        <w:pStyle w:val="ab"/>
        <w:numPr>
          <w:ilvl w:val="0"/>
          <w:numId w:val="2"/>
        </w:numPr>
        <w:ind w:firstLineChars="0"/>
        <w:rPr>
          <w:rFonts w:ascii="宋体" w:eastAsia="宋体" w:hAnsi="宋体"/>
          <w:b/>
          <w:sz w:val="28"/>
          <w:szCs w:val="28"/>
        </w:rPr>
      </w:pPr>
      <w:bookmarkStart w:id="2" w:name="_Toc507405799"/>
      <w:bookmarkStart w:id="3" w:name="_Toc507405800"/>
      <w:bookmarkEnd w:id="1"/>
      <w:r>
        <w:rPr>
          <w:rFonts w:ascii="宋体" w:eastAsia="宋体" w:hAnsi="宋体" w:hint="eastAsia"/>
          <w:b/>
          <w:sz w:val="28"/>
          <w:szCs w:val="28"/>
        </w:rPr>
        <w:t>保密、廉洁协议</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 xml:space="preserve">7.1 </w:t>
      </w:r>
      <w:r>
        <w:rPr>
          <w:rFonts w:ascii="宋体" w:eastAsia="宋体" w:hAnsi="宋体" w:cs="宋体" w:hint="eastAsia"/>
          <w:sz w:val="24"/>
          <w:lang w:val="en-US"/>
        </w:rPr>
        <w:t>双方保证对从另一方取得且无法自公开渠道获得的商业秘密</w:t>
      </w:r>
      <w:r>
        <w:rPr>
          <w:rFonts w:ascii="宋体" w:eastAsia="宋体" w:hAnsi="宋体" w:cs="宋体" w:hint="eastAsia"/>
          <w:sz w:val="24"/>
          <w:lang w:val="en-US"/>
        </w:rPr>
        <w:t>(</w:t>
      </w:r>
      <w:r>
        <w:rPr>
          <w:rFonts w:ascii="宋体" w:eastAsia="宋体" w:hAnsi="宋体" w:cs="宋体" w:hint="eastAsia"/>
          <w:sz w:val="24"/>
          <w:lang w:val="en-US"/>
        </w:rPr>
        <w:t>技</w:t>
      </w:r>
      <w:r>
        <w:rPr>
          <w:rFonts w:ascii="宋体" w:eastAsia="宋体" w:hAnsi="宋体" w:cs="宋体" w:hint="eastAsia"/>
          <w:sz w:val="24"/>
          <w:lang w:val="en-US"/>
        </w:rPr>
        <w:t>术信息、经营信息及其他商业秘密</w:t>
      </w:r>
      <w:r>
        <w:rPr>
          <w:rFonts w:ascii="宋体" w:eastAsia="宋体" w:hAnsi="宋体" w:cs="宋体" w:hint="eastAsia"/>
          <w:sz w:val="24"/>
          <w:lang w:val="en-US"/>
        </w:rPr>
        <w:t>)</w:t>
      </w:r>
      <w:r>
        <w:rPr>
          <w:rFonts w:ascii="宋体" w:eastAsia="宋体" w:hAnsi="宋体" w:cs="宋体" w:hint="eastAsia"/>
          <w:sz w:val="24"/>
          <w:lang w:val="en-US"/>
        </w:rPr>
        <w:t>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 xml:space="preserve">7.2 </w:t>
      </w:r>
      <w:r>
        <w:rPr>
          <w:rFonts w:ascii="宋体" w:eastAsia="宋体" w:hAnsi="宋体" w:cs="宋体" w:hint="eastAsia"/>
          <w:sz w:val="24"/>
          <w:lang w:val="en-US"/>
        </w:rPr>
        <w:t>双方不得以任何方式向第三方泄露本项目的软件技术、设计方案以及功能配置等内容。</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7.3 </w:t>
      </w:r>
      <w:r>
        <w:rPr>
          <w:rFonts w:ascii="宋体" w:eastAsia="宋体" w:hAnsi="宋体" w:cs="宋体" w:hint="eastAsia"/>
          <w:sz w:val="24"/>
          <w:lang w:val="en-US"/>
        </w:rPr>
        <w:t>不以任何方式向第三方泄露在本协议开发实施过程中获取的经济、技术、数据以及双方其他非公开的信息。</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 xml:space="preserve">7.4 </w:t>
      </w:r>
      <w:r>
        <w:rPr>
          <w:rFonts w:ascii="宋体" w:eastAsia="宋体" w:hAnsi="宋体" w:cs="宋体" w:hint="eastAsia"/>
          <w:sz w:val="24"/>
          <w:lang w:val="en-US"/>
        </w:rPr>
        <w:t>不从事商业贿赂行为，遵守廉洁协议或相关规定。甲方发现乙方有违反廉洁协议或相关规定采</w:t>
      </w:r>
      <w:r>
        <w:rPr>
          <w:rFonts w:ascii="宋体" w:eastAsia="宋体" w:hAnsi="宋体" w:cs="宋体" w:hint="eastAsia"/>
          <w:sz w:val="24"/>
          <w:lang w:val="en-US"/>
        </w:rPr>
        <w:t>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B8642B" w:rsidRDefault="00E33715">
      <w:pPr>
        <w:pStyle w:val="a0"/>
        <w:ind w:firstLine="420"/>
        <w:rPr>
          <w:rFonts w:ascii="宋体" w:eastAsia="宋体" w:hAnsi="宋体" w:cs="宋体"/>
          <w:sz w:val="24"/>
          <w:lang w:val="en-US"/>
        </w:rPr>
      </w:pPr>
      <w:r>
        <w:rPr>
          <w:rFonts w:ascii="宋体" w:eastAsia="宋体" w:hAnsi="宋体" w:cs="宋体" w:hint="eastAsia"/>
          <w:sz w:val="24"/>
          <w:lang w:val="en-US"/>
        </w:rPr>
        <w:t>7.5</w:t>
      </w:r>
      <w:r>
        <w:rPr>
          <w:rFonts w:ascii="宋体" w:eastAsia="宋体" w:hAnsi="宋体" w:cs="宋体" w:hint="eastAsia"/>
          <w:sz w:val="24"/>
          <w:lang w:val="en-US"/>
        </w:rPr>
        <w:t>保密期限自本合同生效之日起永久有效，如乙方需解除保密协议需向甲方提出书面申请，双方协商同意签字确认后方可解除。</w:t>
      </w:r>
    </w:p>
    <w:p w:rsidR="00B8642B" w:rsidRDefault="00B8642B">
      <w:pPr>
        <w:pStyle w:val="a0"/>
        <w:rPr>
          <w:lang w:val="en-US"/>
        </w:rPr>
      </w:pPr>
    </w:p>
    <w:p w:rsidR="00B8642B" w:rsidRPr="00E33715" w:rsidRDefault="00E33715">
      <w:pPr>
        <w:pStyle w:val="ab"/>
        <w:numPr>
          <w:ilvl w:val="0"/>
          <w:numId w:val="2"/>
        </w:numPr>
        <w:ind w:firstLineChars="0"/>
        <w:rPr>
          <w:rFonts w:ascii="宋体" w:eastAsia="宋体" w:hAnsi="宋体"/>
          <w:b/>
          <w:sz w:val="28"/>
          <w:szCs w:val="28"/>
        </w:rPr>
      </w:pPr>
      <w:r w:rsidRPr="00E33715">
        <w:rPr>
          <w:rFonts w:ascii="宋体" w:eastAsia="宋体" w:hAnsi="宋体" w:hint="eastAsia"/>
          <w:b/>
          <w:sz w:val="28"/>
          <w:szCs w:val="28"/>
        </w:rPr>
        <w:t>报价</w:t>
      </w:r>
    </w:p>
    <w:p w:rsidR="00B8642B" w:rsidRPr="00E33715" w:rsidRDefault="00E33715">
      <w:pPr>
        <w:pStyle w:val="a0"/>
        <w:ind w:firstLineChars="200" w:firstLine="480"/>
        <w:rPr>
          <w:rFonts w:ascii="宋体" w:eastAsia="宋体" w:hAnsi="宋体" w:cs="宋体"/>
          <w:sz w:val="24"/>
          <w:lang w:val="en-US"/>
        </w:rPr>
      </w:pPr>
      <w:r w:rsidRPr="00E33715">
        <w:rPr>
          <w:rFonts w:ascii="宋体" w:eastAsia="宋体" w:hAnsi="宋体" w:cs="宋体" w:hint="eastAsia"/>
          <w:sz w:val="24"/>
          <w:lang w:val="en-US"/>
        </w:rPr>
        <w:t xml:space="preserve">8.1 </w:t>
      </w:r>
      <w:r w:rsidRPr="00E33715">
        <w:rPr>
          <w:rFonts w:ascii="宋体" w:eastAsia="宋体" w:hAnsi="宋体" w:cs="宋体" w:hint="eastAsia"/>
          <w:sz w:val="24"/>
          <w:lang w:val="en-US"/>
        </w:rPr>
        <w:t>竞标文件按系统模块报价，报价表价格包含系统软硬件费用、产品安装、调试实施、培训费用、产品升级、接口费（包括</w:t>
      </w:r>
      <w:r w:rsidRPr="00E33715">
        <w:rPr>
          <w:rFonts w:ascii="宋体" w:eastAsia="宋体" w:hAnsi="宋体" w:cs="宋体" w:hint="eastAsia"/>
          <w:sz w:val="24"/>
          <w:lang w:val="en-US"/>
        </w:rPr>
        <w:t>支付给</w:t>
      </w:r>
      <w:r w:rsidRPr="00E33715">
        <w:rPr>
          <w:rFonts w:ascii="宋体" w:eastAsia="宋体" w:hAnsi="宋体" w:cs="宋体" w:hint="eastAsia"/>
          <w:sz w:val="24"/>
          <w:lang w:val="en-US"/>
        </w:rPr>
        <w:t>第三方厂家的接口费）等费用，以及明示所有责任、义务和一切风险。</w:t>
      </w:r>
    </w:p>
    <w:p w:rsidR="00B8642B" w:rsidRPr="00E33715" w:rsidRDefault="00E33715">
      <w:pPr>
        <w:pStyle w:val="a0"/>
        <w:ind w:left="420"/>
        <w:rPr>
          <w:rFonts w:ascii="宋体" w:eastAsia="宋体" w:hAnsi="宋体" w:cs="宋体"/>
          <w:sz w:val="24"/>
          <w:lang w:val="en-US"/>
        </w:rPr>
      </w:pPr>
      <w:r w:rsidRPr="00E33715">
        <w:rPr>
          <w:rFonts w:ascii="宋体" w:eastAsia="宋体" w:hAnsi="宋体" w:cs="宋体" w:hint="eastAsia"/>
          <w:sz w:val="24"/>
          <w:lang w:val="en-US"/>
        </w:rPr>
        <w:t xml:space="preserve">8.2 </w:t>
      </w:r>
      <w:r w:rsidRPr="00E33715">
        <w:rPr>
          <w:rFonts w:ascii="宋体" w:eastAsia="宋体" w:hAnsi="宋体" w:cs="宋体" w:hint="eastAsia"/>
          <w:sz w:val="24"/>
          <w:lang w:val="en-US"/>
        </w:rPr>
        <w:t>竞标文件需提供维保期后续保报价。</w:t>
      </w:r>
    </w:p>
    <w:p w:rsidR="00B8642B" w:rsidRPr="00E33715" w:rsidRDefault="00E33715">
      <w:pPr>
        <w:pStyle w:val="a0"/>
        <w:ind w:left="420"/>
        <w:rPr>
          <w:rFonts w:ascii="宋体" w:eastAsia="宋体" w:hAnsi="宋体" w:cs="宋体"/>
          <w:sz w:val="24"/>
          <w:lang w:val="en-US"/>
        </w:rPr>
      </w:pPr>
      <w:r w:rsidRPr="00E33715">
        <w:rPr>
          <w:rFonts w:ascii="宋体" w:eastAsia="宋体" w:hAnsi="宋体" w:cs="宋体" w:hint="eastAsia"/>
          <w:sz w:val="24"/>
          <w:lang w:val="en-US"/>
        </w:rPr>
        <w:t xml:space="preserve">8.3 </w:t>
      </w:r>
      <w:r w:rsidRPr="00E33715">
        <w:rPr>
          <w:rFonts w:ascii="宋体" w:eastAsia="宋体" w:hAnsi="宋体" w:cs="宋体" w:hint="eastAsia"/>
          <w:sz w:val="24"/>
          <w:lang w:val="en-US"/>
        </w:rPr>
        <w:t>竞标文件需提供系统详细图文介绍。系统实施验收参照本技术文档及竞标文件提供的图文介绍为依据。</w:t>
      </w:r>
      <w:bookmarkStart w:id="4" w:name="_GoBack"/>
      <w:bookmarkEnd w:id="4"/>
    </w:p>
    <w:p w:rsidR="00B8642B" w:rsidRPr="00E33715" w:rsidRDefault="00B8642B">
      <w:pPr>
        <w:pStyle w:val="a0"/>
        <w:ind w:firstLine="420"/>
        <w:rPr>
          <w:rFonts w:ascii="宋体" w:eastAsia="宋体" w:hAnsi="宋体" w:cs="宋体"/>
          <w:sz w:val="24"/>
          <w:lang w:val="en-US"/>
        </w:rPr>
      </w:pPr>
    </w:p>
    <w:p w:rsidR="00B8642B" w:rsidRPr="00E33715" w:rsidRDefault="00E33715">
      <w:pPr>
        <w:pStyle w:val="ab"/>
        <w:numPr>
          <w:ilvl w:val="0"/>
          <w:numId w:val="2"/>
        </w:numPr>
        <w:ind w:firstLineChars="0"/>
        <w:rPr>
          <w:rFonts w:ascii="宋体" w:eastAsia="宋体" w:hAnsi="宋体"/>
          <w:b/>
          <w:sz w:val="28"/>
          <w:szCs w:val="28"/>
        </w:rPr>
      </w:pPr>
      <w:r w:rsidRPr="00E33715">
        <w:rPr>
          <w:rFonts w:ascii="宋体" w:eastAsia="宋体" w:hAnsi="宋体" w:hint="eastAsia"/>
          <w:b/>
          <w:sz w:val="28"/>
          <w:szCs w:val="28"/>
        </w:rPr>
        <w:t>付款方式</w:t>
      </w:r>
      <w:bookmarkEnd w:id="2"/>
    </w:p>
    <w:bookmarkEnd w:id="3"/>
    <w:p w:rsidR="00B8642B" w:rsidRPr="00E33715" w:rsidRDefault="00E33715">
      <w:pPr>
        <w:pStyle w:val="a0"/>
        <w:ind w:firstLineChars="200" w:firstLine="480"/>
        <w:rPr>
          <w:rFonts w:ascii="宋体" w:eastAsia="宋体" w:hAnsi="宋体" w:cs="宋体"/>
          <w:sz w:val="24"/>
        </w:rPr>
      </w:pPr>
      <w:r w:rsidRPr="00E33715">
        <w:rPr>
          <w:rFonts w:ascii="宋体" w:eastAsia="宋体" w:hAnsi="宋体" w:cs="宋体" w:hint="eastAsia"/>
          <w:sz w:val="24"/>
          <w:lang w:val="en-US"/>
        </w:rPr>
        <w:t>项目</w:t>
      </w:r>
      <w:r w:rsidRPr="00E33715">
        <w:rPr>
          <w:rFonts w:ascii="宋体" w:eastAsia="宋体" w:hAnsi="宋体" w:cs="宋体" w:hint="eastAsia"/>
          <w:sz w:val="24"/>
          <w:lang w:val="en-US"/>
        </w:rPr>
        <w:t>双方签订合同，项目上线稳定运行</w:t>
      </w:r>
      <w:r w:rsidRPr="00E33715">
        <w:rPr>
          <w:rFonts w:ascii="宋体" w:eastAsia="宋体" w:hAnsi="宋体" w:cs="宋体" w:hint="eastAsia"/>
          <w:sz w:val="24"/>
          <w:lang w:val="en-US"/>
        </w:rPr>
        <w:t>1</w:t>
      </w:r>
      <w:r w:rsidRPr="00E33715">
        <w:rPr>
          <w:rFonts w:ascii="宋体" w:eastAsia="宋体" w:hAnsi="宋体" w:cs="宋体" w:hint="eastAsia"/>
          <w:sz w:val="24"/>
          <w:lang w:val="en-US"/>
        </w:rPr>
        <w:t>个月后，</w:t>
      </w:r>
      <w:r w:rsidRPr="00E33715">
        <w:rPr>
          <w:rFonts w:ascii="宋体" w:eastAsia="宋体" w:hAnsi="宋体" w:cs="宋体" w:hint="eastAsia"/>
          <w:sz w:val="24"/>
          <w:lang w:val="en-US"/>
        </w:rPr>
        <w:t>甲方</w:t>
      </w:r>
      <w:r w:rsidRPr="00E33715">
        <w:rPr>
          <w:rFonts w:ascii="宋体" w:eastAsia="宋体" w:hAnsi="宋体" w:cs="宋体" w:hint="eastAsia"/>
          <w:sz w:val="24"/>
          <w:lang w:val="en-US"/>
        </w:rPr>
        <w:t>支付合同款项的</w:t>
      </w:r>
      <w:r w:rsidRPr="00E33715">
        <w:rPr>
          <w:rFonts w:ascii="宋体" w:eastAsia="宋体" w:hAnsi="宋体" w:cs="宋体" w:hint="eastAsia"/>
          <w:sz w:val="24"/>
          <w:lang w:val="en-US"/>
        </w:rPr>
        <w:t>30%</w:t>
      </w:r>
      <w:r w:rsidRPr="00E33715">
        <w:rPr>
          <w:rFonts w:ascii="宋体" w:eastAsia="宋体" w:hAnsi="宋体" w:cs="宋体" w:hint="eastAsia"/>
          <w:sz w:val="24"/>
          <w:lang w:val="en-US"/>
        </w:rPr>
        <w:t>；合同中的</w:t>
      </w:r>
      <w:r w:rsidRPr="00E33715">
        <w:rPr>
          <w:rFonts w:ascii="宋体" w:eastAsia="宋体" w:hAnsi="宋体" w:cs="宋体" w:hint="eastAsia"/>
          <w:sz w:val="24"/>
          <w:lang w:val="en-US"/>
        </w:rPr>
        <w:t>所有</w:t>
      </w:r>
      <w:r w:rsidRPr="00E33715">
        <w:rPr>
          <w:rFonts w:ascii="宋体" w:eastAsia="宋体" w:hAnsi="宋体" w:cs="宋体" w:hint="eastAsia"/>
          <w:sz w:val="24"/>
          <w:lang w:val="en-US"/>
        </w:rPr>
        <w:t>模块实施完毕，</w:t>
      </w:r>
      <w:r w:rsidRPr="00E33715">
        <w:rPr>
          <w:rFonts w:ascii="宋体" w:eastAsia="宋体" w:hAnsi="宋体" w:cs="宋体" w:hint="eastAsia"/>
          <w:sz w:val="24"/>
          <w:lang w:val="en-US"/>
        </w:rPr>
        <w:t>系统</w:t>
      </w:r>
      <w:r w:rsidRPr="00E33715">
        <w:rPr>
          <w:rFonts w:ascii="宋体" w:eastAsia="宋体" w:hAnsi="宋体" w:cs="宋体" w:hint="eastAsia"/>
          <w:sz w:val="24"/>
          <w:lang w:val="en-US"/>
        </w:rPr>
        <w:t>上线稳定运行</w:t>
      </w:r>
      <w:r w:rsidRPr="00E33715">
        <w:rPr>
          <w:rFonts w:ascii="宋体" w:eastAsia="宋体" w:hAnsi="宋体" w:cs="宋体" w:hint="eastAsia"/>
          <w:sz w:val="24"/>
          <w:lang w:val="en-US"/>
        </w:rPr>
        <w:t>3</w:t>
      </w:r>
      <w:r w:rsidRPr="00E33715">
        <w:rPr>
          <w:rFonts w:ascii="宋体" w:eastAsia="宋体" w:hAnsi="宋体" w:cs="宋体" w:hint="eastAsia"/>
          <w:sz w:val="24"/>
          <w:lang w:val="en-US"/>
        </w:rPr>
        <w:t>个月后，启动</w:t>
      </w:r>
      <w:r w:rsidRPr="00E33715">
        <w:rPr>
          <w:rFonts w:ascii="宋体" w:eastAsia="宋体" w:hAnsi="宋体" w:cs="宋体" w:hint="eastAsia"/>
          <w:sz w:val="24"/>
          <w:lang w:val="en-US"/>
        </w:rPr>
        <w:t>项目</w:t>
      </w:r>
      <w:r w:rsidRPr="00E33715">
        <w:rPr>
          <w:rFonts w:ascii="宋体" w:eastAsia="宋体" w:hAnsi="宋体" w:cs="宋体" w:hint="eastAsia"/>
          <w:sz w:val="24"/>
          <w:lang w:val="en-US"/>
        </w:rPr>
        <w:t>验收，验收合格后</w:t>
      </w:r>
      <w:r w:rsidRPr="00E33715">
        <w:rPr>
          <w:rFonts w:ascii="宋体" w:eastAsia="宋体" w:hAnsi="宋体" w:cs="宋体" w:hint="eastAsia"/>
          <w:sz w:val="24"/>
          <w:lang w:val="en-US"/>
        </w:rPr>
        <w:t>甲方支</w:t>
      </w:r>
      <w:r w:rsidRPr="00E33715">
        <w:rPr>
          <w:rFonts w:ascii="宋体" w:eastAsia="宋体" w:hAnsi="宋体" w:cs="宋体" w:hint="eastAsia"/>
          <w:sz w:val="24"/>
          <w:lang w:val="en-US"/>
        </w:rPr>
        <w:t>付合同款项的</w:t>
      </w:r>
      <w:r w:rsidRPr="00E33715">
        <w:rPr>
          <w:rFonts w:ascii="宋体" w:eastAsia="宋体" w:hAnsi="宋体" w:cs="宋体" w:hint="eastAsia"/>
          <w:sz w:val="24"/>
          <w:lang w:val="en-US"/>
        </w:rPr>
        <w:t>60%</w:t>
      </w:r>
      <w:r w:rsidRPr="00E33715">
        <w:rPr>
          <w:rFonts w:ascii="宋体" w:eastAsia="宋体" w:hAnsi="宋体" w:cs="宋体" w:hint="eastAsia"/>
          <w:sz w:val="24"/>
          <w:lang w:val="en-US"/>
        </w:rPr>
        <w:t>；</w:t>
      </w:r>
      <w:proofErr w:type="gramStart"/>
      <w:r w:rsidRPr="00E33715">
        <w:rPr>
          <w:rFonts w:ascii="宋体" w:eastAsia="宋体" w:hAnsi="宋体" w:cs="宋体" w:hint="eastAsia"/>
          <w:sz w:val="24"/>
          <w:lang w:val="en-US"/>
        </w:rPr>
        <w:t>自</w:t>
      </w:r>
      <w:r w:rsidRPr="00E33715">
        <w:rPr>
          <w:rFonts w:ascii="宋体" w:eastAsia="宋体" w:hAnsi="宋体" w:cs="宋体" w:hint="eastAsia"/>
          <w:sz w:val="24"/>
          <w:lang w:val="en-US"/>
        </w:rPr>
        <w:t>项目</w:t>
      </w:r>
      <w:proofErr w:type="gramEnd"/>
      <w:r w:rsidRPr="00E33715">
        <w:rPr>
          <w:rFonts w:ascii="宋体" w:eastAsia="宋体" w:hAnsi="宋体" w:cs="宋体" w:hint="eastAsia"/>
          <w:sz w:val="24"/>
          <w:lang w:val="en-US"/>
        </w:rPr>
        <w:t>验收合格之日起，</w:t>
      </w:r>
      <w:r w:rsidRPr="00E33715">
        <w:rPr>
          <w:rFonts w:ascii="宋体" w:eastAsia="宋体" w:hAnsi="宋体" w:cs="宋体" w:hint="eastAsia"/>
          <w:sz w:val="24"/>
          <w:lang w:val="en-US"/>
        </w:rPr>
        <w:t>稳定运行</w:t>
      </w:r>
      <w:r w:rsidRPr="00E33715">
        <w:rPr>
          <w:rFonts w:ascii="宋体" w:eastAsia="宋体" w:hAnsi="宋体" w:cs="宋体" w:hint="eastAsia"/>
          <w:sz w:val="24"/>
          <w:lang w:val="en-US"/>
        </w:rPr>
        <w:t>1</w:t>
      </w:r>
      <w:r w:rsidRPr="00E33715">
        <w:rPr>
          <w:rFonts w:ascii="宋体" w:eastAsia="宋体" w:hAnsi="宋体" w:cs="宋体" w:hint="eastAsia"/>
          <w:sz w:val="24"/>
          <w:lang w:val="en-US"/>
        </w:rPr>
        <w:t>年后</w:t>
      </w:r>
      <w:r w:rsidRPr="00E33715">
        <w:rPr>
          <w:rFonts w:ascii="宋体" w:eastAsia="宋体" w:hAnsi="宋体" w:cs="宋体" w:hint="eastAsia"/>
          <w:sz w:val="24"/>
          <w:lang w:val="en-US"/>
        </w:rPr>
        <w:t>，甲方支</w:t>
      </w:r>
      <w:r w:rsidRPr="00E33715">
        <w:rPr>
          <w:rFonts w:ascii="宋体" w:eastAsia="宋体" w:hAnsi="宋体" w:cs="宋体" w:hint="eastAsia"/>
          <w:sz w:val="24"/>
          <w:lang w:val="en-US"/>
        </w:rPr>
        <w:t>付合同款项</w:t>
      </w:r>
      <w:r w:rsidRPr="00E33715">
        <w:rPr>
          <w:rFonts w:ascii="宋体" w:eastAsia="宋体" w:hAnsi="宋体" w:cs="宋体" w:hint="eastAsia"/>
          <w:sz w:val="24"/>
          <w:lang w:val="en-US"/>
        </w:rPr>
        <w:t>的</w:t>
      </w:r>
      <w:r w:rsidRPr="00E33715">
        <w:rPr>
          <w:rFonts w:ascii="宋体" w:eastAsia="宋体" w:hAnsi="宋体" w:cs="宋体" w:hint="eastAsia"/>
          <w:sz w:val="24"/>
          <w:lang w:val="en-US"/>
        </w:rPr>
        <w:t>10%</w:t>
      </w:r>
      <w:r w:rsidRPr="00E33715">
        <w:rPr>
          <w:rFonts w:ascii="宋体" w:eastAsia="宋体" w:hAnsi="宋体" w:cs="宋体" w:hint="eastAsia"/>
          <w:sz w:val="24"/>
          <w:lang w:val="en-US"/>
        </w:rPr>
        <w:t>（不计利息）</w:t>
      </w:r>
      <w:r w:rsidRPr="00E33715">
        <w:rPr>
          <w:rFonts w:ascii="宋体" w:eastAsia="宋体" w:hAnsi="宋体" w:cs="宋体" w:hint="eastAsia"/>
          <w:sz w:val="24"/>
          <w:lang w:val="en-US"/>
        </w:rPr>
        <w:t>。</w:t>
      </w:r>
    </w:p>
    <w:p w:rsidR="00B8642B" w:rsidRDefault="00B8642B">
      <w:pPr>
        <w:pStyle w:val="a0"/>
        <w:ind w:firstLine="420"/>
        <w:rPr>
          <w:rFonts w:ascii="宋体" w:eastAsia="宋体" w:hAnsi="宋体" w:cs="宋体"/>
          <w:sz w:val="24"/>
          <w:lang w:val="en-US"/>
        </w:rPr>
      </w:pPr>
    </w:p>
    <w:sectPr w:rsidR="00B8642B">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OWE0M2Y5OWYwZTYyYWYwNmUzNWIwNzlhMjAzZWIifQ=="/>
  </w:docVars>
  <w:rsids>
    <w:rsidRoot w:val="003E62DF"/>
    <w:rsid w:val="00092EA2"/>
    <w:rsid w:val="000B7D5B"/>
    <w:rsid w:val="000E2410"/>
    <w:rsid w:val="000F2495"/>
    <w:rsid w:val="001134E5"/>
    <w:rsid w:val="001241F2"/>
    <w:rsid w:val="001A11FC"/>
    <w:rsid w:val="001A1C12"/>
    <w:rsid w:val="001D4989"/>
    <w:rsid w:val="001D586C"/>
    <w:rsid w:val="002338FC"/>
    <w:rsid w:val="002579B8"/>
    <w:rsid w:val="002A29C0"/>
    <w:rsid w:val="002B1086"/>
    <w:rsid w:val="002B5105"/>
    <w:rsid w:val="0030237C"/>
    <w:rsid w:val="0038266B"/>
    <w:rsid w:val="003A0C98"/>
    <w:rsid w:val="003A56F4"/>
    <w:rsid w:val="003E62DF"/>
    <w:rsid w:val="004135A9"/>
    <w:rsid w:val="00435C7C"/>
    <w:rsid w:val="00450DF8"/>
    <w:rsid w:val="00474EAB"/>
    <w:rsid w:val="00481560"/>
    <w:rsid w:val="00491534"/>
    <w:rsid w:val="004A0C5D"/>
    <w:rsid w:val="004B5D01"/>
    <w:rsid w:val="004C0908"/>
    <w:rsid w:val="004D3BA6"/>
    <w:rsid w:val="004E7AA7"/>
    <w:rsid w:val="0050455A"/>
    <w:rsid w:val="0051304F"/>
    <w:rsid w:val="0056176C"/>
    <w:rsid w:val="00590B19"/>
    <w:rsid w:val="005A2C2C"/>
    <w:rsid w:val="005A604E"/>
    <w:rsid w:val="005B2284"/>
    <w:rsid w:val="005D449A"/>
    <w:rsid w:val="005D7BBA"/>
    <w:rsid w:val="006A3CAE"/>
    <w:rsid w:val="006B4AC1"/>
    <w:rsid w:val="006C202C"/>
    <w:rsid w:val="006F0711"/>
    <w:rsid w:val="007150C4"/>
    <w:rsid w:val="00745F59"/>
    <w:rsid w:val="008C322F"/>
    <w:rsid w:val="008F1573"/>
    <w:rsid w:val="00910BA3"/>
    <w:rsid w:val="00963750"/>
    <w:rsid w:val="00987172"/>
    <w:rsid w:val="009A6597"/>
    <w:rsid w:val="009C63BE"/>
    <w:rsid w:val="00A140D3"/>
    <w:rsid w:val="00A22612"/>
    <w:rsid w:val="00A50022"/>
    <w:rsid w:val="00AA369D"/>
    <w:rsid w:val="00AB4ECA"/>
    <w:rsid w:val="00AE48B5"/>
    <w:rsid w:val="00B21F95"/>
    <w:rsid w:val="00B26009"/>
    <w:rsid w:val="00B65138"/>
    <w:rsid w:val="00B759E0"/>
    <w:rsid w:val="00B8642B"/>
    <w:rsid w:val="00C14708"/>
    <w:rsid w:val="00C3728F"/>
    <w:rsid w:val="00C4500F"/>
    <w:rsid w:val="00CA5B12"/>
    <w:rsid w:val="00CE7483"/>
    <w:rsid w:val="00CF6938"/>
    <w:rsid w:val="00D07DD6"/>
    <w:rsid w:val="00D33AF1"/>
    <w:rsid w:val="00D5380E"/>
    <w:rsid w:val="00DB4DC7"/>
    <w:rsid w:val="00DB72BF"/>
    <w:rsid w:val="00DC1FBB"/>
    <w:rsid w:val="00E009FB"/>
    <w:rsid w:val="00E16EBF"/>
    <w:rsid w:val="00E22260"/>
    <w:rsid w:val="00E33715"/>
    <w:rsid w:val="00E372D1"/>
    <w:rsid w:val="00E61AD4"/>
    <w:rsid w:val="00E87B49"/>
    <w:rsid w:val="00EB448A"/>
    <w:rsid w:val="00ED4DA5"/>
    <w:rsid w:val="00F04278"/>
    <w:rsid w:val="00F13A7E"/>
    <w:rsid w:val="00F13AA1"/>
    <w:rsid w:val="00F958D0"/>
    <w:rsid w:val="00FB3340"/>
    <w:rsid w:val="00FB7B63"/>
    <w:rsid w:val="00FF2EA7"/>
    <w:rsid w:val="038608DA"/>
    <w:rsid w:val="06DF14B2"/>
    <w:rsid w:val="109B068D"/>
    <w:rsid w:val="14782DB8"/>
    <w:rsid w:val="14AF00BD"/>
    <w:rsid w:val="153D4F2B"/>
    <w:rsid w:val="165C1DAE"/>
    <w:rsid w:val="16ED2D59"/>
    <w:rsid w:val="17536FF6"/>
    <w:rsid w:val="19151124"/>
    <w:rsid w:val="1A251034"/>
    <w:rsid w:val="1AA944D3"/>
    <w:rsid w:val="1B5C436C"/>
    <w:rsid w:val="1B91509A"/>
    <w:rsid w:val="1D9262D5"/>
    <w:rsid w:val="22293C01"/>
    <w:rsid w:val="224243ED"/>
    <w:rsid w:val="25D43FBF"/>
    <w:rsid w:val="367D4F11"/>
    <w:rsid w:val="3A965B44"/>
    <w:rsid w:val="3FFE146B"/>
    <w:rsid w:val="41971DBD"/>
    <w:rsid w:val="44DF57D3"/>
    <w:rsid w:val="480C0CC5"/>
    <w:rsid w:val="49C017DB"/>
    <w:rsid w:val="508670F0"/>
    <w:rsid w:val="50A873B9"/>
    <w:rsid w:val="52C84CF5"/>
    <w:rsid w:val="54361EC0"/>
    <w:rsid w:val="54E82BB7"/>
    <w:rsid w:val="55B43D13"/>
    <w:rsid w:val="5A334C18"/>
    <w:rsid w:val="5C6164F3"/>
    <w:rsid w:val="5EEF047E"/>
    <w:rsid w:val="63EF6D4C"/>
    <w:rsid w:val="67234BE8"/>
    <w:rsid w:val="68B72934"/>
    <w:rsid w:val="69A9737D"/>
    <w:rsid w:val="711C77D0"/>
    <w:rsid w:val="73F71B2F"/>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5F76C0-22B5-400B-88AA-99F4749A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a4">
    <w:name w:val="Balloon Text"/>
    <w:basedOn w:val="a"/>
    <w:link w:val="a5"/>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9">
    <w:name w:val="页眉 字符"/>
    <w:basedOn w:val="a1"/>
    <w:link w:val="a8"/>
    <w:rPr>
      <w:rFonts w:asciiTheme="minorHAnsi" w:eastAsiaTheme="minorEastAsia" w:hAnsiTheme="minorHAnsi" w:cstheme="minorBidi"/>
      <w:kern w:val="2"/>
      <w:sz w:val="18"/>
      <w:szCs w:val="18"/>
    </w:rPr>
  </w:style>
  <w:style w:type="character" w:customStyle="1" w:styleId="a7">
    <w:name w:val="页脚 字符"/>
    <w:basedOn w:val="a1"/>
    <w:link w:val="a6"/>
    <w:rPr>
      <w:rFonts w:asciiTheme="minorHAnsi" w:eastAsiaTheme="minorEastAsia" w:hAnsiTheme="minorHAnsi" w:cstheme="minorBidi"/>
      <w:kern w:val="2"/>
      <w:sz w:val="18"/>
      <w:szCs w:val="18"/>
    </w:rPr>
  </w:style>
  <w:style w:type="character" w:customStyle="1" w:styleId="a5">
    <w:name w:val="批注框文本 字符"/>
    <w:basedOn w:val="a1"/>
    <w:link w:val="a4"/>
    <w:rPr>
      <w:rFonts w:asciiTheme="minorHAnsi" w:eastAsiaTheme="minorEastAsia" w:hAnsiTheme="minorHAnsi" w:cstheme="minorBidi"/>
      <w:kern w:val="2"/>
      <w:sz w:val="18"/>
      <w:szCs w:val="18"/>
    </w:rPr>
  </w:style>
  <w:style w:type="character" w:customStyle="1" w:styleId="fontstyle01">
    <w:name w:val="fontstyle01"/>
    <w:basedOn w:val="a1"/>
    <w:rPr>
      <w:rFonts w:ascii="仿宋" w:hAnsi="仿宋" w:hint="default"/>
      <w:color w:val="2020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930</Words>
  <Characters>5305</Characters>
  <Application>Microsoft Office Word</Application>
  <DocSecurity>0</DocSecurity>
  <Lines>44</Lines>
  <Paragraphs>12</Paragraphs>
  <ScaleCrop>false</ScaleCrop>
  <Company>Microsoft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Mickyzzy</cp:lastModifiedBy>
  <cp:revision>2</cp:revision>
  <cp:lastPrinted>2022-04-17T23:26:00Z</cp:lastPrinted>
  <dcterms:created xsi:type="dcterms:W3CDTF">2022-12-08T01:40:00Z</dcterms:created>
  <dcterms:modified xsi:type="dcterms:W3CDTF">2022-12-08T01:40:00Z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F60B584E1B464F559D5208E7D354CE26</vt:lpwstr>
  </property>
</Properties>
</file>