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20" w:beforeLines="50" w:after="120" w:afterLines="50" w:line="360" w:lineRule="auto"/>
        <w:jc w:val="center"/>
        <w:outlineLvl w:val="1"/>
        <w:rPr>
          <w:rFonts w:hint="eastAsia" w:ascii="Arial" w:hAnsi="Arial" w:eastAsia="宋体" w:cs="Times New Roman"/>
          <w:b/>
          <w:bCs/>
          <w:sz w:val="36"/>
          <w:szCs w:val="36"/>
        </w:rPr>
      </w:pPr>
      <w:r>
        <w:rPr>
          <w:rFonts w:hint="eastAsia" w:ascii="Arial" w:hAnsi="Arial" w:eastAsia="宋体" w:cs="Times New Roman"/>
          <w:b/>
          <w:bCs/>
          <w:sz w:val="36"/>
          <w:szCs w:val="36"/>
          <w:lang w:val="en-US" w:eastAsia="zh-CN"/>
        </w:rPr>
        <w:t>柳州市工人医院</w:t>
      </w:r>
      <w:r>
        <w:rPr>
          <w:rFonts w:hint="eastAsia" w:ascii="Arial" w:hAnsi="Arial" w:eastAsia="宋体" w:cs="Times New Roman"/>
          <w:b/>
          <w:bCs/>
          <w:sz w:val="36"/>
          <w:szCs w:val="36"/>
        </w:rPr>
        <w:t>鱼峰院区、西院直饮水系统维保</w:t>
      </w:r>
    </w:p>
    <w:p>
      <w:pPr>
        <w:keepNext/>
        <w:keepLines/>
        <w:spacing w:before="120" w:beforeLines="50" w:after="120" w:afterLines="50" w:line="360" w:lineRule="auto"/>
        <w:jc w:val="center"/>
        <w:outlineLvl w:val="1"/>
        <w:rPr>
          <w:rFonts w:hint="eastAsia" w:ascii="Arial" w:hAnsi="Arial" w:eastAsia="宋体" w:cs="Times New Roman"/>
          <w:b/>
          <w:bCs/>
          <w:sz w:val="36"/>
          <w:szCs w:val="36"/>
        </w:rPr>
      </w:pPr>
      <w:r>
        <w:rPr>
          <w:rFonts w:hint="eastAsia" w:ascii="Arial" w:hAnsi="Arial" w:eastAsia="宋体" w:cs="Times New Roman"/>
          <w:b/>
          <w:bCs/>
          <w:sz w:val="36"/>
          <w:szCs w:val="36"/>
        </w:rPr>
        <w:t>服务外包项目采购需求</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柳州市工人医院</w:t>
      </w:r>
      <w:r>
        <w:rPr>
          <w:rFonts w:hint="eastAsia" w:ascii="仿宋" w:hAnsi="仿宋" w:eastAsia="仿宋" w:cs="仿宋"/>
          <w:b w:val="0"/>
          <w:bCs w:val="0"/>
          <w:color w:val="auto"/>
          <w:sz w:val="28"/>
          <w:szCs w:val="28"/>
        </w:rPr>
        <w:t>鱼峰院区、西院直饮水系统维保服务外包项目</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项目概况</w:t>
      </w:r>
    </w:p>
    <w:p>
      <w:pPr>
        <w:keepNext w:val="0"/>
        <w:keepLines w:val="0"/>
        <w:pageBreakBefore w:val="0"/>
        <w:kinsoku/>
        <w:wordWrap/>
        <w:overflowPunct/>
        <w:topLinePunct w:val="0"/>
        <w:autoSpaceDE/>
        <w:autoSpaceDN/>
        <w:bidi w:val="0"/>
        <w:adjustRightInd/>
        <w:snapToGrid/>
        <w:spacing w:line="440" w:lineRule="exact"/>
        <w:ind w:firstLine="437"/>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该项目为</w:t>
      </w:r>
      <w:r>
        <w:rPr>
          <w:rFonts w:hint="eastAsia" w:ascii="仿宋" w:hAnsi="仿宋" w:eastAsia="仿宋" w:cs="仿宋"/>
          <w:b w:val="0"/>
          <w:bCs w:val="0"/>
          <w:color w:val="auto"/>
          <w:sz w:val="28"/>
          <w:szCs w:val="28"/>
        </w:rPr>
        <w:t>柳州市工人医院鱼峰山院区、西院</w:t>
      </w:r>
      <w:r>
        <w:rPr>
          <w:rFonts w:hint="eastAsia" w:ascii="仿宋" w:hAnsi="仿宋" w:eastAsia="仿宋" w:cs="仿宋"/>
          <w:b w:val="0"/>
          <w:bCs w:val="0"/>
          <w:color w:val="auto"/>
          <w:sz w:val="28"/>
          <w:szCs w:val="28"/>
          <w:lang w:val="en-US" w:eastAsia="zh-CN"/>
        </w:rPr>
        <w:t>直饮水系统</w:t>
      </w:r>
      <w:r>
        <w:rPr>
          <w:rFonts w:hint="eastAsia" w:ascii="仿宋" w:hAnsi="仿宋" w:eastAsia="仿宋" w:cs="仿宋"/>
          <w:b w:val="0"/>
          <w:bCs w:val="0"/>
          <w:color w:val="auto"/>
          <w:sz w:val="28"/>
          <w:szCs w:val="28"/>
        </w:rPr>
        <w:t>维保项目</w:t>
      </w:r>
      <w:r>
        <w:rPr>
          <w:rFonts w:hint="eastAsia" w:ascii="仿宋" w:hAnsi="仿宋" w:eastAsia="仿宋" w:cs="仿宋"/>
          <w:b w:val="0"/>
          <w:bCs w:val="0"/>
          <w:color w:val="auto"/>
          <w:sz w:val="28"/>
          <w:szCs w:val="28"/>
          <w:lang w:val="en-US" w:eastAsia="zh-CN"/>
        </w:rPr>
        <w:t>主要分为：日常巡检；设备耗材更换（按实际产生费用结算，维保单位负责更换）；管路清洗及消毒要求；</w:t>
      </w:r>
      <w:r>
        <w:rPr>
          <w:rFonts w:hint="default" w:ascii="仿宋" w:hAnsi="仿宋" w:eastAsia="仿宋" w:cs="仿宋"/>
          <w:b w:val="0"/>
          <w:bCs w:val="0"/>
          <w:color w:val="auto"/>
          <w:sz w:val="28"/>
          <w:szCs w:val="28"/>
          <w:lang w:val="en-US" w:eastAsia="zh-CN"/>
        </w:rPr>
        <w:t>直饮水箱清洗</w:t>
      </w:r>
      <w:r>
        <w:rPr>
          <w:rFonts w:hint="eastAsia" w:ascii="仿宋" w:hAnsi="仿宋" w:eastAsia="仿宋" w:cs="仿宋"/>
          <w:b w:val="0"/>
          <w:bCs w:val="0"/>
          <w:color w:val="auto"/>
          <w:sz w:val="28"/>
          <w:szCs w:val="28"/>
          <w:lang w:val="en-US" w:eastAsia="zh-CN"/>
        </w:rPr>
        <w:t>及</w:t>
      </w:r>
      <w:r>
        <w:rPr>
          <w:rFonts w:hint="default" w:ascii="仿宋" w:hAnsi="仿宋" w:eastAsia="仿宋" w:cs="仿宋"/>
          <w:b w:val="0"/>
          <w:bCs w:val="0"/>
          <w:color w:val="auto"/>
          <w:sz w:val="28"/>
          <w:szCs w:val="28"/>
          <w:lang w:val="en-US" w:eastAsia="zh-CN"/>
        </w:rPr>
        <w:t>消毒</w:t>
      </w:r>
      <w:r>
        <w:rPr>
          <w:rFonts w:hint="eastAsia" w:ascii="仿宋" w:hAnsi="仿宋" w:eastAsia="仿宋" w:cs="仿宋"/>
          <w:b w:val="0"/>
          <w:bCs w:val="0"/>
          <w:color w:val="auto"/>
          <w:sz w:val="28"/>
          <w:szCs w:val="28"/>
          <w:lang w:val="en-US" w:eastAsia="zh-CN"/>
        </w:rPr>
        <w:t>；</w:t>
      </w:r>
      <w:r>
        <w:rPr>
          <w:rFonts w:hint="default" w:ascii="仿宋" w:hAnsi="仿宋" w:eastAsia="仿宋" w:cs="仿宋"/>
          <w:b w:val="0"/>
          <w:bCs w:val="0"/>
          <w:color w:val="auto"/>
          <w:sz w:val="28"/>
          <w:szCs w:val="28"/>
          <w:lang w:val="en-US" w:eastAsia="zh-CN"/>
        </w:rPr>
        <w:t>终端壁挂式饮水机清洗</w:t>
      </w:r>
      <w:r>
        <w:rPr>
          <w:rFonts w:hint="eastAsia" w:ascii="仿宋" w:hAnsi="仿宋" w:eastAsia="仿宋" w:cs="仿宋"/>
          <w:b w:val="0"/>
          <w:bCs w:val="0"/>
          <w:color w:val="auto"/>
          <w:sz w:val="28"/>
          <w:szCs w:val="28"/>
          <w:lang w:val="en-US" w:eastAsia="zh-CN"/>
        </w:rPr>
        <w:t>及</w:t>
      </w:r>
      <w:r>
        <w:rPr>
          <w:rFonts w:hint="default" w:ascii="仿宋" w:hAnsi="仿宋" w:eastAsia="仿宋" w:cs="仿宋"/>
          <w:b w:val="0"/>
          <w:bCs w:val="0"/>
          <w:color w:val="auto"/>
          <w:sz w:val="28"/>
          <w:szCs w:val="28"/>
          <w:lang w:val="en-US" w:eastAsia="zh-CN"/>
        </w:rPr>
        <w:t>消毒</w:t>
      </w:r>
      <w:r>
        <w:rPr>
          <w:rFonts w:hint="eastAsia" w:ascii="仿宋" w:hAnsi="仿宋" w:eastAsia="仿宋" w:cs="仿宋"/>
          <w:b w:val="0"/>
          <w:bCs w:val="0"/>
          <w:color w:val="auto"/>
          <w:sz w:val="28"/>
          <w:szCs w:val="28"/>
          <w:lang w:val="en-US" w:eastAsia="zh-CN"/>
        </w:rPr>
        <w:t>；年度检测六项内容。</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投标人资质条件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具有独立承担民事责任能力的在中华人民共和国境内注册的法人，具有合法经营权；</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投标人三年内在经营活动中没有重大违法记录和不良信用记录。</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投标人有效的“营业执照”副本复印件。</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投标人有效的“税务登记证”副本复印件。</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rPr>
        <w:t xml:space="preserve">具有直饮水机组方面维修保养资质（或生产厂家）及相关证书。 </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投标人须具有院方开具的现堪证明；</w:t>
      </w:r>
      <w:r>
        <w:rPr>
          <w:rFonts w:hint="eastAsia" w:ascii="仿宋" w:hAnsi="仿宋" w:eastAsia="仿宋" w:cs="仿宋"/>
          <w:b w:val="0"/>
          <w:bCs w:val="0"/>
          <w:sz w:val="28"/>
          <w:szCs w:val="28"/>
          <w:highlight w:val="none"/>
          <w:lang w:val="en-US" w:eastAsia="zh-CN"/>
        </w:rPr>
        <w:t>具体勘探现场联系廖工：13307727932</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本项目不接受联合体投标。</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服务要求</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严格按照《直</w:t>
      </w:r>
      <w:r>
        <w:rPr>
          <w:rFonts w:hint="eastAsia" w:ascii="仿宋" w:hAnsi="仿宋" w:eastAsia="仿宋" w:cs="仿宋"/>
          <w:b w:val="0"/>
          <w:bCs w:val="0"/>
          <w:sz w:val="28"/>
          <w:szCs w:val="28"/>
        </w:rPr>
        <w:t>饮水净水水质标准》 CJ94-2005</w:t>
      </w:r>
      <w:r>
        <w:rPr>
          <w:rFonts w:hint="eastAsia" w:ascii="仿宋" w:hAnsi="仿宋" w:eastAsia="仿宋" w:cs="仿宋"/>
          <w:b w:val="0"/>
          <w:bCs w:val="0"/>
          <w:sz w:val="28"/>
          <w:szCs w:val="28"/>
          <w:lang w:eastAsia="zh-CN"/>
        </w:rPr>
        <w:t>的</w:t>
      </w:r>
      <w:r>
        <w:rPr>
          <w:rFonts w:hint="eastAsia" w:ascii="仿宋" w:hAnsi="仿宋" w:eastAsia="仿宋" w:cs="仿宋"/>
          <w:b w:val="0"/>
          <w:bCs w:val="0"/>
          <w:sz w:val="28"/>
          <w:szCs w:val="28"/>
          <w:lang w:val="en-US" w:eastAsia="zh-CN"/>
        </w:rPr>
        <w:t>相关规定标准和行业规范进行维护保养和检测等服务项目。</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日常巡检</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为确保设备正常运行每月定期对西院、鱼峰山院区直饮水系统进行巡检一次（巡检内容包括：直饮水系统主机设备运行情况，滤料是否需要添加或更换，检测终端机的水质情况等），并有巡检记录或报告；</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设备耗材更换要求及清单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及时更换滤芯滤料，维护维修主机和终端饮水机，更换设备耗材按实际使用进行结算，维保单位负责更换；</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1.主设备部分及报价</w:t>
      </w:r>
    </w:p>
    <w:tbl>
      <w:tblPr>
        <w:tblStyle w:val="5"/>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920"/>
        <w:gridCol w:w="1680"/>
        <w:gridCol w:w="885"/>
        <w:gridCol w:w="1365"/>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19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货物名称</w:t>
            </w:r>
          </w:p>
        </w:tc>
        <w:tc>
          <w:tcPr>
            <w:tcW w:w="16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维护项目</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数量</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单价（元）</w:t>
            </w: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19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杀菌系统</w:t>
            </w:r>
          </w:p>
        </w:tc>
        <w:tc>
          <w:tcPr>
            <w:tcW w:w="16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紫外线杀菌灯灯管40W</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1支</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飞利浦或同档次品牌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19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液位控制器</w:t>
            </w:r>
          </w:p>
        </w:tc>
        <w:tc>
          <w:tcPr>
            <w:tcW w:w="16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液位控制器</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1支</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雷达或同档次品牌，高、中、低三个液位控制开关，本身液位控制器带显示的，但主机显示屏上能看到。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19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电磁阀</w:t>
            </w:r>
          </w:p>
        </w:tc>
        <w:tc>
          <w:tcPr>
            <w:tcW w:w="16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进水电磁阀（DN25）</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1支</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定制，永创或同档次品牌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19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电磁阀</w:t>
            </w:r>
          </w:p>
        </w:tc>
        <w:tc>
          <w:tcPr>
            <w:tcW w:w="16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进水电磁阀（DN25）</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1支</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定制，永创或同档次品牌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19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变频供水系统</w:t>
            </w:r>
          </w:p>
        </w:tc>
        <w:tc>
          <w:tcPr>
            <w:tcW w:w="16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供水泵</w:t>
            </w:r>
          </w:p>
        </w:tc>
        <w:tc>
          <w:tcPr>
            <w:tcW w:w="88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定制，南方或同档次品牌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19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开关电源器</w:t>
            </w:r>
          </w:p>
        </w:tc>
        <w:tc>
          <w:tcPr>
            <w:tcW w:w="16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开关电源器</w:t>
            </w:r>
          </w:p>
        </w:tc>
        <w:tc>
          <w:tcPr>
            <w:tcW w:w="8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2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德力西或同等档次品牌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19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color w:val="000000"/>
                <w:kern w:val="2"/>
                <w:sz w:val="28"/>
                <w:szCs w:val="28"/>
                <w:u w:val="none"/>
                <w:lang w:val="en-US" w:eastAsia="zh-CN" w:bidi="ar"/>
              </w:rPr>
              <w:t>压力传感器</w:t>
            </w:r>
          </w:p>
        </w:tc>
        <w:tc>
          <w:tcPr>
            <w:tcW w:w="16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kern w:val="2"/>
                <w:sz w:val="28"/>
                <w:szCs w:val="28"/>
                <w:u w:val="none"/>
                <w:lang w:val="en-US" w:eastAsia="zh-CN" w:bidi="ar"/>
              </w:rPr>
              <w:t>压力传感器</w:t>
            </w:r>
          </w:p>
        </w:tc>
        <w:tc>
          <w:tcPr>
            <w:tcW w:w="8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2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19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color w:val="000000"/>
                <w:kern w:val="2"/>
                <w:sz w:val="28"/>
                <w:szCs w:val="28"/>
                <w:u w:val="none"/>
                <w:lang w:val="en-US" w:eastAsia="zh-CN" w:bidi="ar"/>
              </w:rPr>
              <w:t>仪表控制器</w:t>
            </w:r>
          </w:p>
        </w:tc>
        <w:tc>
          <w:tcPr>
            <w:tcW w:w="16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kern w:val="2"/>
                <w:sz w:val="28"/>
                <w:szCs w:val="28"/>
                <w:u w:val="none"/>
                <w:lang w:val="en-US" w:eastAsia="zh-CN" w:bidi="ar"/>
              </w:rPr>
              <w:t>仪表控制器</w:t>
            </w:r>
          </w:p>
        </w:tc>
        <w:tc>
          <w:tcPr>
            <w:tcW w:w="8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2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19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color w:val="000000"/>
                <w:kern w:val="2"/>
                <w:sz w:val="28"/>
                <w:szCs w:val="28"/>
                <w:u w:val="none"/>
                <w:lang w:val="en-US" w:eastAsia="zh-CN" w:bidi="ar"/>
              </w:rPr>
              <w:t>时间继电器</w:t>
            </w:r>
          </w:p>
        </w:tc>
        <w:tc>
          <w:tcPr>
            <w:tcW w:w="16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kern w:val="2"/>
                <w:sz w:val="28"/>
                <w:szCs w:val="28"/>
                <w:u w:val="none"/>
                <w:lang w:val="en-US" w:eastAsia="zh-CN" w:bidi="ar"/>
              </w:rPr>
              <w:t>时间继电器</w:t>
            </w:r>
          </w:p>
        </w:tc>
        <w:tc>
          <w:tcPr>
            <w:tcW w:w="8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2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19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color w:val="000000"/>
                <w:kern w:val="2"/>
                <w:sz w:val="28"/>
                <w:szCs w:val="28"/>
                <w:u w:val="none"/>
                <w:lang w:val="en-US" w:eastAsia="zh-CN" w:bidi="ar"/>
              </w:rPr>
              <w:t>布水器</w:t>
            </w:r>
          </w:p>
        </w:tc>
        <w:tc>
          <w:tcPr>
            <w:tcW w:w="16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kern w:val="2"/>
                <w:sz w:val="28"/>
                <w:szCs w:val="28"/>
                <w:u w:val="none"/>
                <w:lang w:val="en-US" w:eastAsia="zh-CN" w:bidi="ar"/>
              </w:rPr>
              <w:t>布水器</w:t>
            </w:r>
          </w:p>
        </w:tc>
        <w:tc>
          <w:tcPr>
            <w:tcW w:w="8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2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19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color w:val="auto"/>
                <w:kern w:val="2"/>
                <w:sz w:val="28"/>
                <w:szCs w:val="28"/>
                <w:u w:val="none"/>
                <w:lang w:val="en-US" w:eastAsia="zh-CN" w:bidi="ar"/>
              </w:rPr>
              <w:t>保险丝</w:t>
            </w:r>
          </w:p>
        </w:tc>
        <w:tc>
          <w:tcPr>
            <w:tcW w:w="16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i w:val="0"/>
                <w:kern w:val="2"/>
                <w:sz w:val="28"/>
                <w:szCs w:val="28"/>
                <w:u w:val="none"/>
                <w:lang w:val="en-US" w:eastAsia="zh-CN" w:bidi="ar"/>
              </w:rPr>
              <w:t>保险丝</w:t>
            </w:r>
          </w:p>
        </w:tc>
        <w:tc>
          <w:tcPr>
            <w:tcW w:w="88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1套</w:t>
            </w:r>
          </w:p>
        </w:tc>
        <w:tc>
          <w:tcPr>
            <w:tcW w:w="13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2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与主机匹配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73"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小计：</w:t>
            </w:r>
          </w:p>
        </w:tc>
        <w:tc>
          <w:tcPr>
            <w:tcW w:w="1365"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24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2.终端机部分及报价</w:t>
      </w:r>
    </w:p>
    <w:tbl>
      <w:tblPr>
        <w:tblStyle w:val="5"/>
        <w:tblW w:w="10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143"/>
        <w:gridCol w:w="1971"/>
        <w:gridCol w:w="1531"/>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314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货物名称</w:t>
            </w:r>
          </w:p>
        </w:tc>
        <w:tc>
          <w:tcPr>
            <w:tcW w:w="19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维护项目</w:t>
            </w:r>
          </w:p>
        </w:tc>
        <w:tc>
          <w:tcPr>
            <w:tcW w:w="15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单价（元）</w:t>
            </w:r>
          </w:p>
        </w:tc>
        <w:tc>
          <w:tcPr>
            <w:tcW w:w="25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无热胆终端机（祈禧或同档次品牌）</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整机更换</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更换发热体探头板</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更换水嘴</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更换水箱</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更换加热管探头</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更换主控</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温度针</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8</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进水电磁阀</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9</w:t>
            </w:r>
          </w:p>
        </w:tc>
        <w:tc>
          <w:tcPr>
            <w:tcW w:w="3143"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default" w:ascii="仿宋" w:hAnsi="仿宋" w:eastAsia="仿宋" w:cs="仿宋"/>
                <w:b w:val="0"/>
                <w:bCs w:val="0"/>
                <w:sz w:val="28"/>
                <w:szCs w:val="28"/>
                <w:vertAlign w:val="baseline"/>
                <w:lang w:val="en-US" w:eastAsia="zh-CN"/>
              </w:rPr>
              <w:t>更换2分球阀</w:t>
            </w:r>
          </w:p>
        </w:tc>
        <w:tc>
          <w:tcPr>
            <w:tcW w:w="197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258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w:t>
            </w:r>
          </w:p>
        </w:tc>
        <w:tc>
          <w:tcPr>
            <w:tcW w:w="314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胶塞</w:t>
            </w:r>
          </w:p>
        </w:tc>
        <w:tc>
          <w:tcPr>
            <w:tcW w:w="19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25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11</w:t>
            </w:r>
          </w:p>
        </w:tc>
        <w:tc>
          <w:tcPr>
            <w:tcW w:w="314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堵帽</w:t>
            </w:r>
          </w:p>
        </w:tc>
        <w:tc>
          <w:tcPr>
            <w:tcW w:w="19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25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12</w:t>
            </w:r>
          </w:p>
        </w:tc>
        <w:tc>
          <w:tcPr>
            <w:tcW w:w="314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更换2分PE专用管</w:t>
            </w:r>
          </w:p>
        </w:tc>
        <w:tc>
          <w:tcPr>
            <w:tcW w:w="19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更换配件</w:t>
            </w:r>
          </w:p>
        </w:tc>
        <w:tc>
          <w:tcPr>
            <w:tcW w:w="15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25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12"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小计：</w:t>
            </w:r>
          </w:p>
        </w:tc>
        <w:tc>
          <w:tcPr>
            <w:tcW w:w="153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p>
        </w:tc>
        <w:tc>
          <w:tcPr>
            <w:tcW w:w="25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3.耗材部分及报价</w:t>
      </w:r>
    </w:p>
    <w:tbl>
      <w:tblPr>
        <w:tblStyle w:val="5"/>
        <w:tblW w:w="99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4079"/>
        <w:gridCol w:w="1921"/>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序号</w:t>
            </w:r>
          </w:p>
        </w:tc>
        <w:tc>
          <w:tcPr>
            <w:tcW w:w="4079"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耗材名称</w:t>
            </w:r>
          </w:p>
        </w:tc>
        <w:tc>
          <w:tcPr>
            <w:tcW w:w="192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单价（元）</w:t>
            </w:r>
          </w:p>
        </w:tc>
        <w:tc>
          <w:tcPr>
            <w:tcW w:w="31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更换频率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4079"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10-24目石英砂</w:t>
            </w:r>
          </w:p>
        </w:tc>
        <w:tc>
          <w:tcPr>
            <w:tcW w:w="192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1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4079"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4-8目椰壳活性炭</w:t>
            </w:r>
          </w:p>
        </w:tc>
        <w:tc>
          <w:tcPr>
            <w:tcW w:w="192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1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4079"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001*7阳离子树脂</w:t>
            </w:r>
          </w:p>
        </w:tc>
        <w:tc>
          <w:tcPr>
            <w:tcW w:w="192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1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4079"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20寸纤维滤芯</w:t>
            </w:r>
          </w:p>
        </w:tc>
        <w:tc>
          <w:tcPr>
            <w:tcW w:w="192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1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40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40寸纤维滤芯</w:t>
            </w:r>
          </w:p>
        </w:tc>
        <w:tc>
          <w:tcPr>
            <w:tcW w:w="192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default" w:ascii="仿宋" w:hAnsi="仿宋" w:eastAsia="仿宋" w:cs="仿宋"/>
                <w:b w:val="0"/>
                <w:bCs w:val="0"/>
                <w:sz w:val="28"/>
                <w:szCs w:val="28"/>
                <w:vertAlign w:val="baseline"/>
                <w:lang w:val="en-US" w:eastAsia="zh-CN"/>
              </w:rPr>
            </w:pPr>
          </w:p>
        </w:tc>
        <w:tc>
          <w:tcPr>
            <w:tcW w:w="31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7"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4079"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4040反渗透RO膜</w:t>
            </w:r>
          </w:p>
        </w:tc>
        <w:tc>
          <w:tcPr>
            <w:tcW w:w="1921"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p>
        </w:tc>
        <w:tc>
          <w:tcPr>
            <w:tcW w:w="3120" w:type="dxa"/>
          </w:tcPr>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1次/年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val="0"/>
          <w:sz w:val="28"/>
          <w:szCs w:val="28"/>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管路清洗及消毒要求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每年进行1次管道清洗及消毒，每次清洗时间为1天，需提前与招标单位沟通协调，做好相应的准备后服务商才可进行管道清洗和消毒，清洗步骤如下：</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在每台终端机粘贴警示牌，告知管道正在清洗，避免人员饮用水；</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需安排人员到各楼层把所有管道及终端机里的水排空</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技术人员确认过所有管道和所有终端机水排空后，把调配好的消毒剂（二氧化氯）浸泡所有管道和终端机，并检查每台终端机确保每台终端机出水水嘴都有消毒剂流出；</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各楼层从每台终端机出水水嘴排空消毒剂</w:t>
      </w:r>
      <w:r>
        <w:rPr>
          <w:rFonts w:hint="eastAsia"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用纯水清洗管道及终端机，从每台终端机出水水嘴排水冲洗，直到流出的水没有异色异味为止</w:t>
      </w:r>
      <w:r>
        <w:rPr>
          <w:rFonts w:hint="eastAsia"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冲洗完毕，清理现场，撕掉机身上的告示贴条，直饮水交付使用。（冲洗完毕，保证水质合格，并出示权威部门的</w:t>
      </w:r>
      <w:r>
        <w:rPr>
          <w:rFonts w:hint="eastAsia" w:ascii="仿宋" w:hAnsi="仿宋" w:eastAsia="仿宋" w:cs="仿宋"/>
          <w:b w:val="0"/>
          <w:bCs w:val="0"/>
          <w:color w:val="auto"/>
          <w:sz w:val="28"/>
          <w:szCs w:val="28"/>
          <w:highlight w:val="none"/>
          <w:lang w:val="en-US" w:eastAsia="zh-CN"/>
        </w:rPr>
        <w:t>两处</w:t>
      </w:r>
      <w:r>
        <w:rPr>
          <w:rFonts w:hint="default" w:ascii="仿宋" w:hAnsi="仿宋" w:eastAsia="仿宋" w:cs="仿宋"/>
          <w:b w:val="0"/>
          <w:bCs w:val="0"/>
          <w:color w:val="auto"/>
          <w:sz w:val="28"/>
          <w:szCs w:val="28"/>
          <w:highlight w:val="none"/>
          <w:lang w:val="en-US" w:eastAsia="zh-CN"/>
        </w:rPr>
        <w:t>水质监测报告</w:t>
      </w:r>
      <w:r>
        <w:rPr>
          <w:rFonts w:hint="eastAsia" w:ascii="仿宋" w:hAnsi="仿宋" w:eastAsia="仿宋" w:cs="仿宋"/>
          <w:b w:val="0"/>
          <w:bCs w:val="0"/>
          <w:color w:val="auto"/>
          <w:sz w:val="28"/>
          <w:szCs w:val="28"/>
          <w:highlight w:val="none"/>
          <w:lang w:val="en-US" w:eastAsia="zh-CN"/>
        </w:rPr>
        <w:t>；检测项目：大肠杆菌、 耐热大肠杆菌、 菌落总数，及感官性状指标</w:t>
      </w:r>
      <w:r>
        <w:rPr>
          <w:rFonts w:hint="default" w:ascii="仿宋" w:hAnsi="仿宋" w:eastAsia="仿宋" w:cs="仿宋"/>
          <w:b w:val="0"/>
          <w:bCs w:val="0"/>
          <w:color w:val="auto"/>
          <w:sz w:val="28"/>
          <w:szCs w:val="28"/>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投标单位需提供详细在清洗管道前需提供详细方案</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每年至少进行1次</w:t>
      </w:r>
      <w:r>
        <w:rPr>
          <w:rFonts w:hint="default" w:ascii="仿宋" w:hAnsi="仿宋" w:eastAsia="仿宋" w:cs="仿宋"/>
          <w:b w:val="0"/>
          <w:bCs w:val="0"/>
          <w:color w:val="auto"/>
          <w:sz w:val="28"/>
          <w:szCs w:val="28"/>
          <w:highlight w:val="none"/>
          <w:lang w:val="en-US" w:eastAsia="zh-CN"/>
        </w:rPr>
        <w:t>直饮水箱清洗、 消毒</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含冲洗剂及相关清洗消毒所需材料。</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每年至少进行1次</w:t>
      </w:r>
      <w:r>
        <w:rPr>
          <w:rFonts w:hint="default" w:ascii="仿宋" w:hAnsi="仿宋" w:eastAsia="仿宋" w:cs="仿宋"/>
          <w:b w:val="0"/>
          <w:bCs w:val="0"/>
          <w:color w:val="auto"/>
          <w:sz w:val="28"/>
          <w:szCs w:val="28"/>
          <w:highlight w:val="none"/>
          <w:lang w:val="en-US" w:eastAsia="zh-CN"/>
        </w:rPr>
        <w:t>终端壁挂式饮水机清洗、消毒</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包括拆机、装机</w:t>
      </w:r>
      <w:r>
        <w:rPr>
          <w:rFonts w:hint="eastAsia" w:ascii="仿宋" w:hAnsi="仿宋" w:eastAsia="仿宋" w:cs="仿宋"/>
          <w:b w:val="0"/>
          <w:bCs w:val="0"/>
          <w:color w:val="auto"/>
          <w:sz w:val="28"/>
          <w:szCs w:val="28"/>
          <w:highlight w:val="none"/>
          <w:lang w:val="en-US" w:eastAsia="zh-CN"/>
        </w:rPr>
        <w:t>及相关清洗消毒所需材料</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default" w:ascii="仿宋" w:hAnsi="仿宋" w:eastAsia="仿宋" w:cs="仿宋"/>
          <w:b w:val="0"/>
          <w:bCs w:val="0"/>
          <w:color w:val="auto"/>
          <w:sz w:val="28"/>
          <w:szCs w:val="28"/>
          <w:highlight w:val="none"/>
          <w:lang w:val="en-US" w:eastAsia="zh-CN"/>
        </w:rPr>
        <w:t>辅助院内</w:t>
      </w:r>
      <w:r>
        <w:rPr>
          <w:rFonts w:hint="eastAsia" w:ascii="仿宋" w:hAnsi="仿宋" w:eastAsia="仿宋" w:cs="仿宋"/>
          <w:b w:val="0"/>
          <w:bCs w:val="0"/>
          <w:color w:val="auto"/>
          <w:sz w:val="28"/>
          <w:szCs w:val="28"/>
          <w:highlight w:val="none"/>
          <w:lang w:val="en-US" w:eastAsia="zh-CN"/>
        </w:rPr>
        <w:t>（院内检验科自检）</w:t>
      </w:r>
      <w:r>
        <w:rPr>
          <w:rFonts w:hint="default" w:ascii="仿宋" w:hAnsi="仿宋" w:eastAsia="仿宋" w:cs="仿宋"/>
          <w:b w:val="0"/>
          <w:bCs w:val="0"/>
          <w:color w:val="auto"/>
          <w:sz w:val="28"/>
          <w:szCs w:val="28"/>
          <w:highlight w:val="none"/>
          <w:lang w:val="en-US" w:eastAsia="zh-CN"/>
        </w:rPr>
        <w:t>采样送检服务</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每年进行1次年度检测</w:t>
      </w:r>
    </w:p>
    <w:p>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sz w:val="28"/>
          <w:szCs w:val="28"/>
          <w:highlight w:val="none"/>
          <w:lang w:val="en-US" w:eastAsia="zh-CN"/>
        </w:rPr>
        <w:t>按照《直</w:t>
      </w:r>
      <w:r>
        <w:rPr>
          <w:rFonts w:hint="eastAsia" w:ascii="仿宋" w:hAnsi="仿宋" w:eastAsia="仿宋" w:cs="仿宋"/>
          <w:b w:val="0"/>
          <w:bCs w:val="0"/>
          <w:sz w:val="28"/>
          <w:szCs w:val="28"/>
          <w:highlight w:val="none"/>
        </w:rPr>
        <w:t>饮水净水水质标准》 CJ94-2005</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color w:val="auto"/>
          <w:sz w:val="28"/>
          <w:szCs w:val="28"/>
          <w:highlight w:val="none"/>
          <w:lang w:val="en-US" w:eastAsia="zh-CN"/>
        </w:rPr>
        <w:t>每年由本市级或以上的检测机构（政府相关部门）对水质进行1次年度检测。并保证检测合格的证明报告。如检测不合格，需要整改并重新检测时，重新检测的费用由中标人承担支付至检测合格并提供检测合格证明给招标人。</w:t>
      </w:r>
    </w:p>
    <w:p>
      <w:pPr>
        <w:keepNext w:val="0"/>
        <w:keepLines w:val="0"/>
        <w:pageBreakBefore w:val="0"/>
        <w:numPr>
          <w:ilvl w:val="0"/>
          <w:numId w:val="6"/>
        </w:numPr>
        <w:kinsoku/>
        <w:wordWrap/>
        <w:overflowPunct/>
        <w:topLinePunct w:val="0"/>
        <w:autoSpaceDE/>
        <w:autoSpaceDN/>
        <w:bidi w:val="0"/>
        <w:adjustRightInd/>
        <w:snapToGrid/>
        <w:spacing w:line="440" w:lineRule="exact"/>
        <w:ind w:left="0" w:leftChars="0" w:firstLine="560" w:firstLineChars="200"/>
        <w:textAlignment w:val="auto"/>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检测项目：大肠杆菌、耐热大肠杆菌、菌落总数、色度、浑浊度、臭和味、肉眼可见物、总硬度、溶解性总固体、PH值等不仅限于以上列出的行业最新标准进行检测内容。 </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val="0"/>
          <w:bCs w:val="0"/>
          <w:sz w:val="28"/>
          <w:szCs w:val="28"/>
          <w:highlight w:val="none"/>
          <w:u w:val="none"/>
        </w:rPr>
      </w:pPr>
      <w:r>
        <w:rPr>
          <w:rFonts w:hint="eastAsia" w:ascii="仿宋" w:hAnsi="仿宋" w:eastAsia="仿宋" w:cs="仿宋"/>
          <w:b/>
          <w:bCs/>
          <w:color w:val="auto"/>
          <w:sz w:val="28"/>
          <w:szCs w:val="28"/>
          <w:highlight w:val="none"/>
          <w:lang w:val="en-US" w:eastAsia="zh-CN"/>
        </w:rPr>
        <w:t>报价、合同签订及维修保养时间：</w:t>
      </w:r>
    </w:p>
    <w:tbl>
      <w:tblPr>
        <w:tblStyle w:val="4"/>
        <w:tblpPr w:leftFromText="180" w:rightFromText="180" w:vertAnchor="text" w:horzAnchor="page" w:tblpX="1280" w:tblpY="315"/>
        <w:tblOverlap w:val="never"/>
        <w:tblW w:w="9796" w:type="dxa"/>
        <w:tblInd w:w="0" w:type="dxa"/>
        <w:tblLayout w:type="fixed"/>
        <w:tblCellMar>
          <w:top w:w="0" w:type="dxa"/>
          <w:left w:w="108" w:type="dxa"/>
          <w:bottom w:w="0" w:type="dxa"/>
          <w:right w:w="108" w:type="dxa"/>
        </w:tblCellMar>
      </w:tblPr>
      <w:tblGrid>
        <w:gridCol w:w="803"/>
        <w:gridCol w:w="1284"/>
        <w:gridCol w:w="3441"/>
        <w:gridCol w:w="960"/>
        <w:gridCol w:w="900"/>
        <w:gridCol w:w="1215"/>
        <w:gridCol w:w="1193"/>
      </w:tblGrid>
      <w:tr>
        <w:tblPrEx>
          <w:tblLayout w:type="fixed"/>
          <w:tblCellMar>
            <w:top w:w="0" w:type="dxa"/>
            <w:left w:w="108" w:type="dxa"/>
            <w:bottom w:w="0" w:type="dxa"/>
            <w:right w:w="108" w:type="dxa"/>
          </w:tblCellMar>
        </w:tblPrEx>
        <w:trPr>
          <w:trHeight w:val="766" w:hRule="atLeast"/>
        </w:trPr>
        <w:tc>
          <w:tcPr>
            <w:tcW w:w="80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序号</w:t>
            </w:r>
          </w:p>
        </w:tc>
        <w:tc>
          <w:tcPr>
            <w:tcW w:w="1284"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服务名称</w:t>
            </w:r>
          </w:p>
        </w:tc>
        <w:tc>
          <w:tcPr>
            <w:tcW w:w="3441"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服务内容</w:t>
            </w:r>
          </w:p>
        </w:tc>
        <w:tc>
          <w:tcPr>
            <w:tcW w:w="96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hint="default"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数量</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单位</w:t>
            </w:r>
          </w:p>
        </w:tc>
        <w:tc>
          <w:tcPr>
            <w:tcW w:w="121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单价（元）</w:t>
            </w:r>
          </w:p>
        </w:tc>
        <w:tc>
          <w:tcPr>
            <w:tcW w:w="119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金额（元）</w:t>
            </w:r>
          </w:p>
        </w:tc>
      </w:tr>
      <w:tr>
        <w:tblPrEx>
          <w:tblLayout w:type="fixed"/>
          <w:tblCellMar>
            <w:top w:w="0" w:type="dxa"/>
            <w:left w:w="108" w:type="dxa"/>
            <w:bottom w:w="0" w:type="dxa"/>
            <w:right w:w="108" w:type="dxa"/>
          </w:tblCellMar>
        </w:tblPrEx>
        <w:trPr>
          <w:trHeight w:val="452"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1</w:t>
            </w:r>
          </w:p>
        </w:tc>
        <w:tc>
          <w:tcPr>
            <w:tcW w:w="128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s="宋体"/>
                <w:color w:val="000000"/>
                <w:sz w:val="24"/>
                <w:highlight w:val="none"/>
              </w:rPr>
            </w:pPr>
            <w:r>
              <w:rPr>
                <w:rFonts w:hint="eastAsia" w:ascii="仿宋" w:hAnsi="仿宋" w:eastAsia="仿宋" w:cs="仿宋"/>
                <w:b w:val="0"/>
                <w:bCs w:val="0"/>
                <w:color w:val="auto"/>
                <w:sz w:val="28"/>
                <w:szCs w:val="28"/>
                <w:highlight w:val="none"/>
                <w:lang w:val="en-US" w:eastAsia="zh-CN"/>
              </w:rPr>
              <w:t>柳州市工人医院</w:t>
            </w:r>
            <w:r>
              <w:rPr>
                <w:rFonts w:hint="eastAsia" w:ascii="仿宋" w:hAnsi="仿宋" w:eastAsia="仿宋" w:cs="仿宋"/>
                <w:b w:val="0"/>
                <w:bCs w:val="0"/>
                <w:color w:val="auto"/>
                <w:sz w:val="28"/>
                <w:szCs w:val="28"/>
                <w:highlight w:val="none"/>
              </w:rPr>
              <w:t>鱼峰院区、西院直饮水系统维保服务外包项目</w:t>
            </w:r>
          </w:p>
        </w:tc>
        <w:tc>
          <w:tcPr>
            <w:tcW w:w="34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default" w:ascii="宋体" w:hAnsi="宋体" w:cs="宋体"/>
                <w:color w:val="000000"/>
                <w:sz w:val="24"/>
                <w:highlight w:val="none"/>
                <w:lang w:val="en-US"/>
              </w:rPr>
            </w:pPr>
            <w:r>
              <w:rPr>
                <w:rFonts w:hint="eastAsia" w:ascii="仿宋" w:hAnsi="仿宋" w:eastAsia="仿宋" w:cs="仿宋"/>
                <w:b w:val="0"/>
                <w:bCs w:val="0"/>
                <w:color w:val="auto"/>
                <w:sz w:val="28"/>
                <w:szCs w:val="28"/>
                <w:highlight w:val="none"/>
                <w:lang w:val="en-US" w:eastAsia="zh-CN"/>
              </w:rPr>
              <w:t>设备耗材单价合计（按实际采购量结算）</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1</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批</w:t>
            </w:r>
          </w:p>
        </w:tc>
        <w:tc>
          <w:tcPr>
            <w:tcW w:w="12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c>
          <w:tcPr>
            <w:tcW w:w="11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r>
      <w:tr>
        <w:tblPrEx>
          <w:tblLayout w:type="fixed"/>
          <w:tblCellMar>
            <w:top w:w="0" w:type="dxa"/>
            <w:left w:w="108" w:type="dxa"/>
            <w:bottom w:w="0" w:type="dxa"/>
            <w:right w:w="108" w:type="dxa"/>
          </w:tblCellMar>
        </w:tblPrEx>
        <w:trPr>
          <w:trHeight w:val="416"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2</w:t>
            </w:r>
          </w:p>
        </w:tc>
        <w:tc>
          <w:tcPr>
            <w:tcW w:w="12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highlight w:val="none"/>
              </w:rPr>
            </w:pPr>
          </w:p>
        </w:tc>
        <w:tc>
          <w:tcPr>
            <w:tcW w:w="34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sz w:val="24"/>
                <w:highlight w:val="none"/>
              </w:rPr>
            </w:pPr>
            <w:r>
              <w:rPr>
                <w:rFonts w:hint="eastAsia" w:ascii="仿宋" w:hAnsi="仿宋" w:eastAsia="仿宋" w:cs="仿宋"/>
                <w:b w:val="0"/>
                <w:bCs w:val="0"/>
                <w:color w:val="auto"/>
                <w:sz w:val="28"/>
                <w:szCs w:val="28"/>
                <w:highlight w:val="none"/>
                <w:lang w:val="en-US" w:eastAsia="zh-CN"/>
              </w:rPr>
              <w:t>管路清洗及消毒</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1</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次</w:t>
            </w:r>
          </w:p>
        </w:tc>
        <w:tc>
          <w:tcPr>
            <w:tcW w:w="12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c>
          <w:tcPr>
            <w:tcW w:w="11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r>
      <w:tr>
        <w:tblPrEx>
          <w:tblLayout w:type="fixed"/>
          <w:tblCellMar>
            <w:top w:w="0" w:type="dxa"/>
            <w:left w:w="108" w:type="dxa"/>
            <w:bottom w:w="0" w:type="dxa"/>
            <w:right w:w="108" w:type="dxa"/>
          </w:tblCellMar>
        </w:tblPrEx>
        <w:trPr>
          <w:trHeight w:val="395"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3</w:t>
            </w:r>
          </w:p>
        </w:tc>
        <w:tc>
          <w:tcPr>
            <w:tcW w:w="12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highlight w:val="none"/>
              </w:rPr>
            </w:pPr>
          </w:p>
        </w:tc>
        <w:tc>
          <w:tcPr>
            <w:tcW w:w="34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000000"/>
                <w:sz w:val="24"/>
                <w:highlight w:val="none"/>
              </w:rPr>
            </w:pPr>
            <w:r>
              <w:rPr>
                <w:rFonts w:hint="default" w:ascii="仿宋" w:hAnsi="仿宋" w:eastAsia="仿宋" w:cs="仿宋"/>
                <w:b w:val="0"/>
                <w:bCs w:val="0"/>
                <w:color w:val="auto"/>
                <w:sz w:val="28"/>
                <w:szCs w:val="28"/>
                <w:highlight w:val="none"/>
                <w:lang w:val="en-US" w:eastAsia="zh-CN"/>
              </w:rPr>
              <w:t>直饮水箱清洗</w:t>
            </w:r>
            <w:r>
              <w:rPr>
                <w:rFonts w:hint="eastAsia" w:ascii="仿宋" w:hAnsi="仿宋" w:eastAsia="仿宋" w:cs="仿宋"/>
                <w:b w:val="0"/>
                <w:bCs w:val="0"/>
                <w:color w:val="auto"/>
                <w:sz w:val="28"/>
                <w:szCs w:val="28"/>
                <w:highlight w:val="none"/>
                <w:lang w:val="en-US" w:eastAsia="zh-CN"/>
              </w:rPr>
              <w:t>及</w:t>
            </w:r>
            <w:r>
              <w:rPr>
                <w:rFonts w:hint="default" w:ascii="仿宋" w:hAnsi="仿宋" w:eastAsia="仿宋" w:cs="仿宋"/>
                <w:b w:val="0"/>
                <w:bCs w:val="0"/>
                <w:color w:val="auto"/>
                <w:sz w:val="28"/>
                <w:szCs w:val="28"/>
                <w:highlight w:val="none"/>
                <w:lang w:val="en-US" w:eastAsia="zh-CN"/>
              </w:rPr>
              <w:t>消毒</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1</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sz w:val="24"/>
                <w:highlight w:val="none"/>
                <w:lang w:val="en-US" w:eastAsia="zh-CN"/>
              </w:rPr>
            </w:pPr>
            <w:r>
              <w:rPr>
                <w:rFonts w:hint="eastAsia" w:ascii="宋体" w:hAnsi="宋体" w:cs="宋体"/>
                <w:color w:val="000000"/>
                <w:sz w:val="24"/>
                <w:highlight w:val="none"/>
                <w:lang w:val="en-US" w:eastAsia="zh-CN"/>
              </w:rPr>
              <w:t>次</w:t>
            </w:r>
          </w:p>
        </w:tc>
        <w:tc>
          <w:tcPr>
            <w:tcW w:w="12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c>
          <w:tcPr>
            <w:tcW w:w="11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r>
      <w:tr>
        <w:tblPrEx>
          <w:tblLayout w:type="fixed"/>
          <w:tblCellMar>
            <w:top w:w="0" w:type="dxa"/>
            <w:left w:w="108" w:type="dxa"/>
            <w:bottom w:w="0" w:type="dxa"/>
            <w:right w:w="108" w:type="dxa"/>
          </w:tblCellMar>
        </w:tblPrEx>
        <w:trPr>
          <w:trHeight w:val="395"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4</w:t>
            </w:r>
          </w:p>
        </w:tc>
        <w:tc>
          <w:tcPr>
            <w:tcW w:w="12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highlight w:val="none"/>
              </w:rPr>
            </w:pPr>
          </w:p>
        </w:tc>
        <w:tc>
          <w:tcPr>
            <w:tcW w:w="34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4"/>
                <w:highlight w:val="none"/>
                <w:lang w:bidi="ar"/>
              </w:rPr>
            </w:pPr>
            <w:r>
              <w:rPr>
                <w:rFonts w:hint="default" w:ascii="仿宋" w:hAnsi="仿宋" w:eastAsia="仿宋" w:cs="仿宋"/>
                <w:b w:val="0"/>
                <w:bCs w:val="0"/>
                <w:color w:val="auto"/>
                <w:sz w:val="28"/>
                <w:szCs w:val="28"/>
                <w:highlight w:val="none"/>
                <w:lang w:val="en-US" w:eastAsia="zh-CN"/>
              </w:rPr>
              <w:t>终端壁挂式饮水机清洗</w:t>
            </w:r>
            <w:r>
              <w:rPr>
                <w:rFonts w:hint="eastAsia" w:ascii="仿宋" w:hAnsi="仿宋" w:eastAsia="仿宋" w:cs="仿宋"/>
                <w:b w:val="0"/>
                <w:bCs w:val="0"/>
                <w:color w:val="auto"/>
                <w:sz w:val="28"/>
                <w:szCs w:val="28"/>
                <w:highlight w:val="none"/>
                <w:lang w:val="en-US" w:eastAsia="zh-CN"/>
              </w:rPr>
              <w:t>及</w:t>
            </w:r>
            <w:r>
              <w:rPr>
                <w:rFonts w:hint="default" w:ascii="仿宋" w:hAnsi="仿宋" w:eastAsia="仿宋" w:cs="仿宋"/>
                <w:b w:val="0"/>
                <w:bCs w:val="0"/>
                <w:color w:val="auto"/>
                <w:sz w:val="28"/>
                <w:szCs w:val="28"/>
                <w:highlight w:val="none"/>
                <w:lang w:val="en-US" w:eastAsia="zh-CN"/>
              </w:rPr>
              <w:t>消毒</w:t>
            </w:r>
            <w:r>
              <w:rPr>
                <w:rFonts w:hint="eastAsia" w:ascii="仿宋" w:hAnsi="仿宋" w:eastAsia="仿宋" w:cs="仿宋"/>
                <w:b w:val="0"/>
                <w:bCs w:val="0"/>
                <w:color w:val="auto"/>
                <w:sz w:val="28"/>
                <w:szCs w:val="28"/>
                <w:highlight w:val="none"/>
                <w:lang w:val="en-US" w:eastAsia="zh-CN"/>
              </w:rPr>
              <w:t>（按实际台数结算）</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台</w:t>
            </w:r>
          </w:p>
        </w:tc>
        <w:tc>
          <w:tcPr>
            <w:tcW w:w="12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c>
          <w:tcPr>
            <w:tcW w:w="11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r>
      <w:tr>
        <w:tblPrEx>
          <w:tblLayout w:type="fixed"/>
          <w:tblCellMar>
            <w:top w:w="0" w:type="dxa"/>
            <w:left w:w="108" w:type="dxa"/>
            <w:bottom w:w="0" w:type="dxa"/>
            <w:right w:w="108" w:type="dxa"/>
          </w:tblCellMar>
        </w:tblPrEx>
        <w:trPr>
          <w:trHeight w:val="90" w:hRule="atLeast"/>
        </w:trPr>
        <w:tc>
          <w:tcPr>
            <w:tcW w:w="80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5</w:t>
            </w:r>
          </w:p>
        </w:tc>
        <w:tc>
          <w:tcPr>
            <w:tcW w:w="128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 w:val="24"/>
                <w:highlight w:val="none"/>
              </w:rPr>
            </w:pPr>
          </w:p>
        </w:tc>
        <w:tc>
          <w:tcPr>
            <w:tcW w:w="344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center"/>
              <w:rPr>
                <w:rFonts w:hint="eastAsia" w:ascii="宋体" w:hAnsi="宋体" w:cs="宋体"/>
                <w:color w:val="000000"/>
                <w:kern w:val="0"/>
                <w:sz w:val="24"/>
                <w:highlight w:val="none"/>
                <w:lang w:bidi="ar"/>
              </w:rPr>
            </w:pPr>
            <w:r>
              <w:rPr>
                <w:rFonts w:hint="eastAsia" w:ascii="仿宋" w:hAnsi="仿宋" w:eastAsia="仿宋" w:cs="仿宋"/>
                <w:b w:val="0"/>
                <w:bCs w:val="0"/>
                <w:color w:val="auto"/>
                <w:sz w:val="28"/>
                <w:szCs w:val="28"/>
                <w:highlight w:val="none"/>
                <w:lang w:val="en-US" w:eastAsia="zh-CN"/>
              </w:rPr>
              <w:t>年度检测</w:t>
            </w:r>
          </w:p>
        </w:tc>
        <w:tc>
          <w:tcPr>
            <w:tcW w:w="96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hint="eastAsia" w:ascii="宋体" w:hAnsi="宋体" w:cs="宋体" w:eastAsiaTheme="minorEastAsia"/>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次</w:t>
            </w:r>
          </w:p>
        </w:tc>
        <w:tc>
          <w:tcPr>
            <w:tcW w:w="121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c>
          <w:tcPr>
            <w:tcW w:w="11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 w:val="24"/>
                <w:highlight w:val="none"/>
              </w:rPr>
            </w:pPr>
          </w:p>
        </w:tc>
      </w:tr>
      <w:tr>
        <w:tblPrEx>
          <w:tblLayout w:type="fixed"/>
          <w:tblCellMar>
            <w:top w:w="0" w:type="dxa"/>
            <w:left w:w="108" w:type="dxa"/>
            <w:bottom w:w="0" w:type="dxa"/>
            <w:right w:w="108" w:type="dxa"/>
          </w:tblCellMar>
        </w:tblPrEx>
        <w:trPr>
          <w:trHeight w:val="1365" w:hRule="atLeast"/>
        </w:trPr>
        <w:tc>
          <w:tcPr>
            <w:tcW w:w="9796" w:type="dxa"/>
            <w:gridSpan w:val="7"/>
            <w:tcBorders>
              <w:top w:val="nil"/>
              <w:left w:val="single" w:color="000000" w:sz="8" w:space="0"/>
              <w:bottom w:val="single" w:color="000000" w:sz="8" w:space="0"/>
              <w:right w:val="single" w:color="000000" w:sz="8" w:space="0"/>
            </w:tcBorders>
            <w:shd w:val="clear" w:color="auto" w:fill="auto"/>
            <w:vAlign w:val="center"/>
          </w:tcPr>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color w:val="auto"/>
                <w:kern w:val="0"/>
                <w:sz w:val="24"/>
                <w:u w:val="single"/>
                <w:lang w:val="en-US" w:eastAsia="zh-CN" w:bidi="ar"/>
              </w:rPr>
            </w:pPr>
            <w:r>
              <w:rPr>
                <w:rFonts w:hint="eastAsia" w:ascii="宋体" w:hAnsi="宋体" w:cs="宋体"/>
                <w:color w:val="auto"/>
                <w:kern w:val="0"/>
                <w:sz w:val="24"/>
                <w:lang w:val="en-US" w:eastAsia="zh-CN" w:bidi="ar"/>
              </w:rPr>
              <w:t>人民币合计金额（大写）</w:t>
            </w:r>
            <w:r>
              <w:rPr>
                <w:rFonts w:hint="eastAsia" w:ascii="宋体" w:hAnsi="宋体" w:cs="宋体"/>
                <w:color w:val="auto"/>
                <w:kern w:val="0"/>
                <w:sz w:val="24"/>
                <w:u w:val="single"/>
                <w:lang w:val="en-US" w:eastAsia="zh-CN" w:bidi="ar"/>
              </w:rPr>
              <w:t xml:space="preserve">               </w:t>
            </w:r>
            <w:r>
              <w:rPr>
                <w:rFonts w:hint="eastAsia" w:ascii="宋体" w:hAnsi="宋体" w:cs="宋体"/>
                <w:color w:val="auto"/>
                <w:kern w:val="0"/>
                <w:sz w:val="24"/>
                <w:lang w:val="en-US" w:eastAsia="zh-CN" w:bidi="ar"/>
              </w:rPr>
              <w:t xml:space="preserve">（小写）¥ </w:t>
            </w:r>
            <w:r>
              <w:rPr>
                <w:rFonts w:hint="eastAsia" w:ascii="宋体" w:hAnsi="宋体" w:cs="宋体"/>
                <w:color w:val="auto"/>
                <w:kern w:val="0"/>
                <w:sz w:val="24"/>
                <w:u w:val="single"/>
                <w:lang w:val="en-US" w:eastAsia="zh-CN" w:bidi="ar"/>
              </w:rPr>
              <w:t xml:space="preserve">             </w:t>
            </w:r>
          </w:p>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eastAsia" w:ascii="宋体" w:hAnsi="宋体" w:cs="宋体"/>
                <w:b/>
                <w:bCs/>
                <w:color w:val="C00000"/>
                <w:kern w:val="0"/>
                <w:sz w:val="24"/>
                <w:lang w:val="en-US" w:eastAsia="zh-CN" w:bidi="ar"/>
              </w:rPr>
            </w:pPr>
            <w:r>
              <w:rPr>
                <w:rFonts w:hint="eastAsia" w:ascii="宋体" w:hAnsi="宋体" w:cs="宋体"/>
                <w:b/>
                <w:bCs/>
                <w:color w:val="C00000"/>
                <w:kern w:val="0"/>
                <w:sz w:val="24"/>
                <w:lang w:val="en-US" w:eastAsia="zh-CN" w:bidi="ar"/>
              </w:rPr>
              <w:t>备注：该报价含人工费，服务费及清洗和消毒所需材料费用；</w:t>
            </w:r>
          </w:p>
          <w:p>
            <w:pPr>
              <w:pStyle w:val="2"/>
              <w:keepNext/>
              <w:keepLines/>
              <w:pageBreakBefore w:val="0"/>
              <w:widowControl w:val="0"/>
              <w:kinsoku/>
              <w:wordWrap/>
              <w:overflowPunct/>
              <w:topLinePunct w:val="0"/>
              <w:autoSpaceDE/>
              <w:autoSpaceDN/>
              <w:bidi w:val="0"/>
              <w:adjustRightInd/>
              <w:snapToGrid/>
              <w:spacing w:line="240" w:lineRule="exact"/>
              <w:textAlignment w:val="auto"/>
              <w:rPr>
                <w:rFonts w:hint="default" w:eastAsia="等线 Light"/>
                <w:lang w:val="en-US" w:eastAsia="zh-CN"/>
              </w:rPr>
            </w:pPr>
            <w:r>
              <w:rPr>
                <w:rFonts w:hint="eastAsia" w:ascii="宋体" w:hAnsi="宋体" w:cs="宋体"/>
                <w:b/>
                <w:bCs/>
                <w:color w:val="C00000"/>
                <w:kern w:val="0"/>
                <w:sz w:val="24"/>
                <w:lang w:val="en-US" w:eastAsia="zh-CN" w:bidi="ar"/>
              </w:rPr>
              <w:t>设备耗材报价按单价进行报价（含更换人工费），费用按实际产生进行结算，1+2+3++4+5=合计总价。</w:t>
            </w:r>
          </w:p>
        </w:tc>
      </w:tr>
    </w:tbl>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合同期及结算方式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1、合同期限为：1年。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2、结算方式：按</w:t>
      </w:r>
      <w:r>
        <w:rPr>
          <w:rFonts w:hint="eastAsia" w:ascii="仿宋" w:hAnsi="仿宋" w:eastAsia="仿宋" w:cs="仿宋"/>
          <w:b w:val="0"/>
          <w:bCs w:val="0"/>
          <w:sz w:val="28"/>
          <w:szCs w:val="28"/>
          <w:lang w:val="en-US" w:eastAsia="zh-CN"/>
        </w:rPr>
        <w:t>每季度工程量</w:t>
      </w:r>
      <w:r>
        <w:rPr>
          <w:rFonts w:hint="eastAsia" w:ascii="仿宋" w:hAnsi="仿宋" w:eastAsia="仿宋" w:cs="仿宋"/>
          <w:b w:val="0"/>
          <w:bCs w:val="0"/>
          <w:sz w:val="28"/>
          <w:szCs w:val="28"/>
          <w:lang w:eastAsia="zh-CN"/>
        </w:rPr>
        <w:t>结算，</w:t>
      </w:r>
      <w:r>
        <w:rPr>
          <w:rFonts w:hint="eastAsia" w:ascii="仿宋" w:hAnsi="仿宋" w:eastAsia="仿宋" w:cs="仿宋"/>
          <w:b w:val="0"/>
          <w:bCs w:val="0"/>
          <w:sz w:val="28"/>
          <w:szCs w:val="28"/>
          <w:lang w:val="en-US" w:eastAsia="zh-CN"/>
        </w:rPr>
        <w:t>每季度结算一次</w:t>
      </w:r>
      <w:r>
        <w:rPr>
          <w:rFonts w:hint="eastAsia" w:ascii="仿宋" w:hAnsi="仿宋" w:eastAsia="仿宋" w:cs="仿宋"/>
          <w:b w:val="0"/>
          <w:bCs w:val="0"/>
          <w:sz w:val="28"/>
          <w:szCs w:val="28"/>
          <w:lang w:eastAsia="zh-CN"/>
        </w:rPr>
        <w:t>。</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供应商遴选方式</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对供应商商品质量、服务及时性及价格进行综合评价，遴选1家服务商。</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sz w:val="28"/>
          <w:szCs w:val="28"/>
          <w:lang w:val="en-US" w:eastAsia="zh-CN"/>
        </w:rPr>
      </w:pPr>
    </w:p>
    <w:p>
      <w:pPr>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承办科室 ：                                使用科室：</w:t>
      </w:r>
    </w:p>
    <w:p>
      <w:pPr>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经办人：                                   经办人 </w:t>
      </w:r>
    </w:p>
    <w:p>
      <w:pPr>
        <w:spacing w:line="360" w:lineRule="auto"/>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科主任：                                   科主任：</w:t>
      </w:r>
    </w:p>
    <w:p>
      <w:pPr>
        <w:spacing w:line="360" w:lineRule="auto"/>
        <w:jc w:val="left"/>
        <w:rPr>
          <w:rFonts w:hint="eastAsia" w:ascii="仿宋" w:hAnsi="仿宋" w:eastAsia="仿宋" w:cs="仿宋"/>
          <w:b w:val="0"/>
          <w:bCs w:val="0"/>
          <w:sz w:val="28"/>
          <w:szCs w:val="28"/>
          <w:lang w:val="en-US" w:eastAsia="zh-CN"/>
        </w:rPr>
      </w:pPr>
      <w:r>
        <w:rPr>
          <w:rFonts w:hint="eastAsia" w:asciiTheme="minorEastAsia" w:hAnsiTheme="minorEastAsia" w:eastAsiaTheme="minorEastAsia" w:cstheme="minorEastAsia"/>
          <w:sz w:val="28"/>
          <w:szCs w:val="28"/>
          <w:lang w:val="en-US" w:eastAsia="zh-CN"/>
        </w:rPr>
        <w:t>日期：2022年</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lang w:val="en-US" w:eastAsia="zh-CN"/>
        </w:rPr>
        <w:t>日                    日期： 2022年</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lang w:val="en-US" w:eastAsia="zh-CN"/>
        </w:rPr>
        <w:t>日</w:t>
      </w: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814708"/>
    <w:multiLevelType w:val="singleLevel"/>
    <w:tmpl w:val="A4814708"/>
    <w:lvl w:ilvl="0" w:tentative="0">
      <w:start w:val="1"/>
      <w:numFmt w:val="decimal"/>
      <w:suff w:val="nothing"/>
      <w:lvlText w:val="%1．"/>
      <w:lvlJc w:val="left"/>
      <w:pPr>
        <w:ind w:left="0" w:firstLine="400"/>
      </w:pPr>
      <w:rPr>
        <w:rFonts w:hint="default"/>
      </w:rPr>
    </w:lvl>
  </w:abstractNum>
  <w:abstractNum w:abstractNumId="1">
    <w:nsid w:val="C3FFD690"/>
    <w:multiLevelType w:val="singleLevel"/>
    <w:tmpl w:val="C3FFD690"/>
    <w:lvl w:ilvl="0" w:tentative="0">
      <w:start w:val="1"/>
      <w:numFmt w:val="chineseCounting"/>
      <w:suff w:val="nothing"/>
      <w:lvlText w:val="（%1）"/>
      <w:lvlJc w:val="left"/>
      <w:rPr>
        <w:rFonts w:hint="eastAsia"/>
      </w:rPr>
    </w:lvl>
  </w:abstractNum>
  <w:abstractNum w:abstractNumId="2">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3">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4">
    <w:nsid w:val="51C6ECE4"/>
    <w:multiLevelType w:val="singleLevel"/>
    <w:tmpl w:val="51C6ECE4"/>
    <w:lvl w:ilvl="0" w:tentative="0">
      <w:start w:val="1"/>
      <w:numFmt w:val="decimal"/>
      <w:suff w:val="nothing"/>
      <w:lvlText w:val="%1．"/>
      <w:lvlJc w:val="left"/>
      <w:pPr>
        <w:ind w:left="0" w:firstLine="400"/>
      </w:pPr>
      <w:rPr>
        <w:rFonts w:hint="default"/>
      </w:rPr>
    </w:lvl>
  </w:abstractNum>
  <w:abstractNum w:abstractNumId="5">
    <w:nsid w:val="743893DF"/>
    <w:multiLevelType w:val="singleLevel"/>
    <w:tmpl w:val="743893DF"/>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95A92"/>
    <w:rsid w:val="05E94E60"/>
    <w:rsid w:val="0D6F418E"/>
    <w:rsid w:val="177A7FAC"/>
    <w:rsid w:val="218C7B1B"/>
    <w:rsid w:val="22437913"/>
    <w:rsid w:val="2AAF6DDC"/>
    <w:rsid w:val="38930E6C"/>
    <w:rsid w:val="395A4ACD"/>
    <w:rsid w:val="39FA4FAA"/>
    <w:rsid w:val="3B9F0825"/>
    <w:rsid w:val="4F356E50"/>
    <w:rsid w:val="57602FC5"/>
    <w:rsid w:val="7A9A2C51"/>
    <w:rsid w:val="7C532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7">
    <w:name w:val="List Paragraph"/>
    <w:basedOn w:val="1"/>
    <w:unhideWhenUsed/>
    <w:qFormat/>
    <w:uiPriority w:val="0"/>
    <w:pPr>
      <w:ind w:firstLine="420" w:firstLineChars="200"/>
    </w:pPr>
  </w:style>
  <w:style w:type="paragraph" w:customStyle="1" w:styleId="8">
    <w:name w:val="正文文本首行缩进1"/>
    <w:basedOn w:val="3"/>
    <w:qFormat/>
    <w:uiPriority w:val="0"/>
    <w:pPr>
      <w:ind w:firstLine="100" w:firstLineChars="100"/>
    </w:pPr>
  </w:style>
  <w:style w:type="character" w:customStyle="1" w:styleId="9">
    <w:name w:val="fontstyle01"/>
    <w:basedOn w:val="6"/>
    <w:qFormat/>
    <w:uiPriority w:val="0"/>
    <w:rPr>
      <w:rFonts w:ascii="新宋体" w:hAnsi="新宋体" w:eastAsia="新宋体" w:cs="新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2022-10-13T07:44:00Z</dcterms:created>
  <dc:creator>Administrator</dc:creator>
  <cp:lastModifiedBy>Administrator</cp:lastModifiedBy>
  <cp:lastPrinted>2022-11-09T11:02:00Z</cp:lastPrinted>
  <dcterms:modified xsi:type="dcterms:W3CDTF">2022-11-15T02:45:18Z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