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cstheme="minorEastAsia"/>
          <w:b/>
          <w:bCs/>
          <w:color w:val="auto"/>
          <w:sz w:val="30"/>
          <w:szCs w:val="30"/>
          <w:lang w:val="en-US" w:eastAsia="zh-CN"/>
        </w:rPr>
        <w:t>前置审方系统、合理用药监测系统、处方点评</w:t>
      </w:r>
      <w:r>
        <w:rPr>
          <w:rFonts w:hint="eastAsia" w:asciiTheme="minorEastAsia" w:hAnsiTheme="minorEastAsia" w:eastAsiaTheme="minorEastAsia" w:cstheme="minorEastAsia"/>
          <w:b/>
          <w:bCs/>
          <w:color w:val="auto"/>
          <w:sz w:val="30"/>
          <w:szCs w:val="30"/>
        </w:rPr>
        <w:t>系统</w:t>
      </w:r>
    </w:p>
    <w:p>
      <w:pPr>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cstheme="minorEastAsia"/>
          <w:b/>
          <w:bCs/>
          <w:color w:val="auto"/>
          <w:sz w:val="30"/>
          <w:szCs w:val="30"/>
          <w:lang w:val="en-US" w:eastAsia="zh-CN"/>
        </w:rPr>
        <w:t>升级</w:t>
      </w:r>
      <w:r>
        <w:rPr>
          <w:rFonts w:hint="eastAsia" w:asciiTheme="minorEastAsia" w:hAnsiTheme="minorEastAsia" w:eastAsiaTheme="minorEastAsia" w:cstheme="minorEastAsia"/>
          <w:b/>
          <w:bCs/>
          <w:color w:val="auto"/>
          <w:sz w:val="30"/>
          <w:szCs w:val="30"/>
        </w:rPr>
        <w:t>服务技术参数</w:t>
      </w:r>
    </w:p>
    <w:p>
      <w:pPr>
        <w:jc w:val="both"/>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一、项目背景</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b w:val="0"/>
          <w:bCs w:val="0"/>
          <w:color w:val="auto"/>
          <w:sz w:val="24"/>
          <w:szCs w:val="24"/>
          <w:lang w:val="en-US" w:eastAsia="zh-CN"/>
        </w:rPr>
      </w:pPr>
      <w:r>
        <w:rPr>
          <w:rFonts w:hint="eastAsia"/>
          <w:b w:val="0"/>
          <w:bCs w:val="0"/>
          <w:color w:val="auto"/>
          <w:sz w:val="24"/>
          <w:szCs w:val="24"/>
          <w:lang w:val="en-US" w:eastAsia="zh-CN"/>
        </w:rPr>
        <w:t>合理用药相关信息系统（含合理用药监测系统、前置审方系统和处方点评系统）于2017年11月购买并上线使用，项目于2019年9月25日完成验收，至今已使用接近5年。由于医院药学业务不断发展，目前原有合理用药相关系统已不能完全满足其实际工作需求，严重影响药学工作效率。因此，经过调研，广州天恒公司（在用合理用药相关系统提供商）现有最新版本的软件产品能有效解决目前存在的弊端问题，可通过升级原有合理用药相关系统来实现。</w:t>
      </w:r>
    </w:p>
    <w:p>
      <w:pPr>
        <w:jc w:val="both"/>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二、维保服务内容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061"/>
        <w:gridCol w:w="6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序号</w:t>
            </w:r>
          </w:p>
        </w:tc>
        <w:tc>
          <w:tcPr>
            <w:tcW w:w="106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系统类型</w:t>
            </w:r>
          </w:p>
        </w:tc>
        <w:tc>
          <w:tcPr>
            <w:tcW w:w="69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1"/>
                <w:szCs w:val="21"/>
                <w:lang w:val="en-US" w:eastAsia="zh-CN"/>
              </w:rPr>
            </w:pPr>
            <w:r>
              <w:rPr>
                <w:rFonts w:hint="default" w:asciiTheme="minorEastAsia" w:hAnsiTheme="minorEastAsia" w:eastAsiaTheme="minorEastAsia" w:cstheme="minorEastAsia"/>
                <w:b/>
                <w:bCs/>
                <w:color w:val="auto"/>
                <w:sz w:val="21"/>
                <w:szCs w:val="21"/>
                <w:lang w:val="en-US" w:eastAsia="zh-CN"/>
              </w:rPr>
              <w:t>合理</w:t>
            </w:r>
            <w:r>
              <w:rPr>
                <w:rFonts w:hint="eastAsia" w:asciiTheme="minorEastAsia" w:hAnsiTheme="minorEastAsia" w:cstheme="minorEastAsia"/>
                <w:b/>
                <w:bCs/>
                <w:color w:val="auto"/>
                <w:sz w:val="21"/>
                <w:szCs w:val="21"/>
                <w:lang w:val="en-US" w:eastAsia="zh-CN"/>
              </w:rPr>
              <w:t>用药监测</w:t>
            </w:r>
          </w:p>
        </w:tc>
        <w:tc>
          <w:tcPr>
            <w:tcW w:w="6921"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宋体" w:hAnsi="宋体" w:cs="宋体"/>
                <w:color w:val="auto"/>
                <w:kern w:val="0"/>
                <w:sz w:val="21"/>
                <w:szCs w:val="21"/>
                <w:lang w:val="en-US" w:eastAsia="zh-CN" w:bidi="ar"/>
              </w:rPr>
              <w:t>超说明书用法用量审查：系统提供超说明书用法用量设置功能。可自定义设置部分科室超说明书用法用量使用，或全院科室超说明书使用。拦截时，审方界面提示超说明书审批的相关内容。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kern w:val="2"/>
                <w:sz w:val="21"/>
                <w:szCs w:val="21"/>
                <w:lang w:val="en-US" w:eastAsia="zh-CN" w:bidi="ar-SA"/>
              </w:rPr>
            </w:pPr>
            <w:r>
              <w:rPr>
                <w:rFonts w:hint="default" w:asciiTheme="minorEastAsia" w:hAnsiTheme="minorEastAsia" w:eastAsiaTheme="minorEastAsia" w:cstheme="minorEastAsia"/>
                <w:b/>
                <w:bCs/>
                <w:color w:val="auto"/>
                <w:kern w:val="2"/>
                <w:sz w:val="21"/>
                <w:szCs w:val="21"/>
                <w:lang w:val="en-US" w:eastAsia="zh-CN" w:bidi="ar-SA"/>
              </w:rPr>
              <w:t>合理用药监测</w:t>
            </w:r>
          </w:p>
        </w:tc>
        <w:tc>
          <w:tcPr>
            <w:tcW w:w="6921"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color w:val="auto"/>
                <w:kern w:val="2"/>
                <w:sz w:val="21"/>
                <w:szCs w:val="21"/>
                <w:lang w:val="en-US" w:eastAsia="zh-CN" w:bidi="ar-SA"/>
              </w:rPr>
            </w:pPr>
            <w:r>
              <w:rPr>
                <w:rFonts w:hint="eastAsia" w:ascii="宋体" w:hAnsi="宋体" w:cs="宋体"/>
                <w:color w:val="auto"/>
                <w:kern w:val="0"/>
                <w:sz w:val="21"/>
                <w:szCs w:val="21"/>
                <w:lang w:val="en-US" w:eastAsia="zh-CN" w:bidi="ar"/>
              </w:rPr>
              <w:t>超说明书适应症审查：系统提供超说明书适应症设置功能，可自定义设置药品在部分科室的超说明书适应症，未设置科室不能超适应症使用。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3</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kern w:val="2"/>
                <w:sz w:val="21"/>
                <w:szCs w:val="21"/>
                <w:lang w:val="en-US" w:eastAsia="zh-CN" w:bidi="ar-SA"/>
              </w:rPr>
            </w:pPr>
            <w:r>
              <w:rPr>
                <w:rFonts w:hint="default" w:asciiTheme="minorEastAsia" w:hAnsiTheme="minorEastAsia" w:eastAsiaTheme="minorEastAsia" w:cstheme="minorEastAsia"/>
                <w:b/>
                <w:bCs/>
                <w:color w:val="auto"/>
                <w:kern w:val="2"/>
                <w:sz w:val="21"/>
                <w:szCs w:val="21"/>
                <w:lang w:val="en-US" w:eastAsia="zh-CN" w:bidi="ar-SA"/>
              </w:rPr>
              <w:t>合理用药监测</w:t>
            </w:r>
          </w:p>
        </w:tc>
        <w:tc>
          <w:tcPr>
            <w:tcW w:w="6921"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cs="宋体"/>
                <w:color w:val="auto"/>
                <w:kern w:val="0"/>
                <w:sz w:val="21"/>
                <w:szCs w:val="21"/>
                <w:lang w:val="en-US" w:eastAsia="zh-CN" w:bidi="ar"/>
              </w:rPr>
              <w:t>诊断与病生理状态审查：系统提供不同病生理对应诊断设置归类功能，可自定义设置妊娠期、哺乳期、肝肾功能、慢病等不同类别的诊断。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4</w:t>
            </w:r>
          </w:p>
        </w:tc>
        <w:tc>
          <w:tcPr>
            <w:tcW w:w="1061" w:type="dxa"/>
            <w:noWrap w:val="0"/>
            <w:vAlign w:val="center"/>
          </w:tcPr>
          <w:p>
            <w:pPr>
              <w:spacing w:beforeLines="0" w:afterLines="0"/>
              <w:jc w:val="center"/>
              <w:rPr>
                <w:rFonts w:hint="default" w:asciiTheme="minorEastAsia" w:hAnsiTheme="minorEastAsia" w:eastAsiaTheme="minorEastAsia" w:cstheme="minorEastAsia"/>
                <w:b/>
                <w:bCs/>
                <w:color w:val="auto"/>
                <w:kern w:val="2"/>
                <w:sz w:val="21"/>
                <w:szCs w:val="21"/>
                <w:lang w:val="en-US" w:eastAsia="zh-CN" w:bidi="ar-SA"/>
              </w:rPr>
            </w:pPr>
            <w:r>
              <w:rPr>
                <w:rFonts w:hint="eastAsia" w:ascii="宋体" w:hAnsi="宋体"/>
                <w:b/>
                <w:color w:val="auto"/>
                <w:sz w:val="21"/>
              </w:rPr>
              <w:t>合理用药监测</w:t>
            </w:r>
          </w:p>
        </w:tc>
        <w:tc>
          <w:tcPr>
            <w:tcW w:w="6921" w:type="dxa"/>
            <w:noWrap w:val="0"/>
            <w:vAlign w:val="top"/>
          </w:tcPr>
          <w:p>
            <w:pPr>
              <w:widowControl/>
              <w:numPr>
                <w:ilvl w:val="0"/>
                <w:numId w:val="0"/>
              </w:numPr>
              <w:spacing w:beforeLines="0" w:afterLines="0"/>
              <w:ind w:left="0" w:leftChars="0" w:firstLine="0" w:firstLineChars="0"/>
              <w:jc w:val="left"/>
              <w:rPr>
                <w:rFonts w:hint="eastAsia" w:ascii="宋体" w:hAnsi="宋体" w:cs="宋体"/>
                <w:color w:val="auto"/>
                <w:kern w:val="0"/>
                <w:sz w:val="21"/>
                <w:szCs w:val="21"/>
                <w:lang w:val="en-US" w:eastAsia="zh-CN" w:bidi="ar"/>
              </w:rPr>
            </w:pPr>
            <w:r>
              <w:rPr>
                <w:rFonts w:hint="eastAsia" w:ascii="宋体" w:hAnsi="宋体"/>
                <w:color w:val="auto"/>
                <w:kern w:val="0"/>
                <w:sz w:val="21"/>
              </w:rPr>
              <w:t>一个药允许设置多个拦截数值及单位。另外，自动处理单位换算。比如，0.5g=500mg。设置0.5g时，自动对500mg生效。不需要对500mg重新设置。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5</w:t>
            </w:r>
          </w:p>
        </w:tc>
        <w:tc>
          <w:tcPr>
            <w:tcW w:w="1061" w:type="dxa"/>
            <w:noWrap w:val="0"/>
            <w:vAlign w:val="center"/>
          </w:tcPr>
          <w:p>
            <w:pPr>
              <w:spacing w:beforeLines="0" w:afterLines="0"/>
              <w:jc w:val="center"/>
              <w:rPr>
                <w:rFonts w:hint="eastAsia" w:ascii="宋体" w:hAnsi="宋体"/>
                <w:b/>
                <w:color w:val="auto"/>
                <w:sz w:val="21"/>
              </w:rPr>
            </w:pPr>
            <w:r>
              <w:rPr>
                <w:rFonts w:hint="eastAsia" w:ascii="宋体" w:hAnsi="宋体"/>
                <w:b/>
                <w:color w:val="auto"/>
                <w:sz w:val="21"/>
              </w:rPr>
              <w:t>合理用药监测</w:t>
            </w:r>
          </w:p>
        </w:tc>
        <w:tc>
          <w:tcPr>
            <w:tcW w:w="6921" w:type="dxa"/>
            <w:noWrap w:val="0"/>
            <w:vAlign w:val="top"/>
          </w:tcPr>
          <w:p>
            <w:pPr>
              <w:spacing w:beforeLines="0" w:afterLines="0"/>
              <w:jc w:val="left"/>
              <w:rPr>
                <w:rFonts w:hint="eastAsia" w:ascii="宋体" w:hAnsi="宋体"/>
                <w:color w:val="auto"/>
                <w:kern w:val="0"/>
                <w:sz w:val="21"/>
              </w:rPr>
            </w:pPr>
            <w:r>
              <w:rPr>
                <w:rFonts w:hint="eastAsia" w:ascii="宋体" w:hAnsi="宋体"/>
                <w:color w:val="auto"/>
                <w:kern w:val="0"/>
                <w:sz w:val="21"/>
              </w:rPr>
              <w:t>患者诊断不同，用药量及给药频次不同；增加根据诊断来调整药品用法用量设置。用法用量的判断可按“大于”、“大于等于”、“小于”、“小于等于”、“等于”、“不等于”等多种条件判断。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6</w:t>
            </w:r>
          </w:p>
        </w:tc>
        <w:tc>
          <w:tcPr>
            <w:tcW w:w="1061" w:type="dxa"/>
            <w:noWrap w:val="0"/>
            <w:vAlign w:val="center"/>
          </w:tcPr>
          <w:p>
            <w:pPr>
              <w:spacing w:beforeLines="0" w:afterLines="0"/>
              <w:jc w:val="center"/>
              <w:rPr>
                <w:rFonts w:hint="eastAsia" w:ascii="宋体" w:hAnsi="宋体"/>
                <w:b/>
                <w:color w:val="auto"/>
                <w:sz w:val="21"/>
              </w:rPr>
            </w:pPr>
            <w:r>
              <w:rPr>
                <w:rFonts w:hint="eastAsia" w:ascii="宋体" w:hAnsi="宋体"/>
                <w:b/>
                <w:color w:val="auto"/>
                <w:sz w:val="21"/>
              </w:rPr>
              <w:t>合理用药监测</w:t>
            </w:r>
          </w:p>
        </w:tc>
        <w:tc>
          <w:tcPr>
            <w:tcW w:w="6921" w:type="dxa"/>
            <w:noWrap w:val="0"/>
            <w:vAlign w:val="top"/>
          </w:tcPr>
          <w:p>
            <w:pPr>
              <w:spacing w:beforeLines="0" w:afterLines="0"/>
              <w:jc w:val="left"/>
              <w:rPr>
                <w:rFonts w:hint="eastAsia" w:ascii="宋体" w:hAnsi="宋体"/>
                <w:color w:val="auto"/>
                <w:kern w:val="0"/>
                <w:sz w:val="21"/>
              </w:rPr>
            </w:pPr>
            <w:r>
              <w:rPr>
                <w:rFonts w:hint="eastAsia" w:ascii="宋体" w:hAnsi="宋体"/>
                <w:color w:val="auto"/>
                <w:sz w:val="21"/>
              </w:rPr>
              <w:t>以体表面积计算用药量的药品，按照说明书提到的体表面积用药量进行匹配拦截。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7</w:t>
            </w:r>
          </w:p>
        </w:tc>
        <w:tc>
          <w:tcPr>
            <w:tcW w:w="1061" w:type="dxa"/>
            <w:noWrap w:val="0"/>
            <w:vAlign w:val="center"/>
          </w:tcPr>
          <w:p>
            <w:pPr>
              <w:spacing w:beforeLines="0" w:afterLines="0"/>
              <w:jc w:val="center"/>
              <w:rPr>
                <w:rFonts w:hint="eastAsia" w:ascii="宋体" w:hAnsi="宋体"/>
                <w:b/>
                <w:color w:val="auto"/>
                <w:sz w:val="21"/>
              </w:rPr>
            </w:pPr>
            <w:r>
              <w:rPr>
                <w:rFonts w:hint="eastAsia" w:ascii="宋体" w:hAnsi="宋体"/>
                <w:b/>
                <w:color w:val="auto"/>
                <w:sz w:val="21"/>
              </w:rPr>
              <w:t>合理用药监测</w:t>
            </w:r>
          </w:p>
        </w:tc>
        <w:tc>
          <w:tcPr>
            <w:tcW w:w="6921" w:type="dxa"/>
            <w:noWrap w:val="0"/>
            <w:vAlign w:val="top"/>
          </w:tcPr>
          <w:p>
            <w:pPr>
              <w:spacing w:beforeLines="0" w:afterLines="0"/>
              <w:jc w:val="left"/>
              <w:rPr>
                <w:rFonts w:hint="eastAsia" w:ascii="宋体" w:hAnsi="宋体"/>
                <w:color w:val="auto"/>
                <w:kern w:val="0"/>
                <w:sz w:val="21"/>
              </w:rPr>
            </w:pPr>
            <w:r>
              <w:rPr>
                <w:rFonts w:hint="eastAsia" w:ascii="宋体" w:hAnsi="宋体"/>
                <w:color w:val="auto"/>
                <w:sz w:val="21"/>
              </w:rPr>
              <w:t>设置拦截的“周用药总量”。当医生开药的一周用药总量大于或小于设定值时，拦截，提交人工审方。“周用药总量”仅对设置药品生效。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8</w:t>
            </w:r>
          </w:p>
        </w:tc>
        <w:tc>
          <w:tcPr>
            <w:tcW w:w="1061" w:type="dxa"/>
            <w:noWrap w:val="0"/>
            <w:vAlign w:val="center"/>
          </w:tcPr>
          <w:p>
            <w:pPr>
              <w:spacing w:beforeLines="0" w:afterLines="0"/>
              <w:jc w:val="center"/>
              <w:rPr>
                <w:rFonts w:hint="eastAsia" w:ascii="宋体" w:hAnsi="宋体"/>
                <w:b/>
                <w:color w:val="auto"/>
                <w:sz w:val="21"/>
              </w:rPr>
            </w:pPr>
            <w:r>
              <w:rPr>
                <w:rFonts w:hint="eastAsia" w:ascii="宋体" w:hAnsi="宋体"/>
                <w:b/>
                <w:color w:val="auto"/>
                <w:sz w:val="21"/>
              </w:rPr>
              <w:t>合理用药监测</w:t>
            </w:r>
          </w:p>
        </w:tc>
        <w:tc>
          <w:tcPr>
            <w:tcW w:w="6921" w:type="dxa"/>
            <w:noWrap w:val="0"/>
            <w:vAlign w:val="top"/>
          </w:tcPr>
          <w:p>
            <w:pPr>
              <w:spacing w:beforeLines="0" w:afterLines="0"/>
              <w:jc w:val="left"/>
              <w:rPr>
                <w:rFonts w:hint="eastAsia" w:ascii="宋体" w:hAnsi="宋体"/>
                <w:color w:val="auto"/>
                <w:sz w:val="21"/>
              </w:rPr>
            </w:pPr>
            <w:r>
              <w:rPr>
                <w:rFonts w:hint="eastAsia" w:ascii="宋体" w:hAnsi="宋体"/>
                <w:color w:val="auto"/>
                <w:sz w:val="21"/>
              </w:rPr>
              <w:t>设置当出院带药“该药药品处方总量等于单日用药总量”时，二级问题，弹出提示：“出院带药仅有1天用药量”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9</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kern w:val="2"/>
                <w:sz w:val="21"/>
                <w:szCs w:val="21"/>
                <w:lang w:val="en-US" w:eastAsia="zh-CN" w:bidi="ar-SA"/>
              </w:rPr>
            </w:pPr>
            <w:r>
              <w:rPr>
                <w:rFonts w:hint="default" w:asciiTheme="minorEastAsia" w:hAnsiTheme="minorEastAsia" w:eastAsiaTheme="minorEastAsia" w:cstheme="minorEastAsia"/>
                <w:b/>
                <w:bCs/>
                <w:color w:val="auto"/>
                <w:kern w:val="2"/>
                <w:sz w:val="21"/>
                <w:szCs w:val="21"/>
                <w:lang w:val="en-US" w:eastAsia="zh-CN" w:bidi="ar-SA"/>
              </w:rPr>
              <w:t>前置审方</w:t>
            </w:r>
          </w:p>
        </w:tc>
        <w:tc>
          <w:tcPr>
            <w:tcW w:w="6921"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cs="宋体"/>
                <w:color w:val="auto"/>
                <w:kern w:val="0"/>
                <w:sz w:val="21"/>
                <w:szCs w:val="21"/>
                <w:lang w:val="en-US" w:eastAsia="zh-CN" w:bidi="ar"/>
              </w:rPr>
              <w:t>对前置审方干预有效率进行统计；医生是否修改处方/医嘱进行闭环查询。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10</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kern w:val="2"/>
                <w:sz w:val="21"/>
                <w:szCs w:val="21"/>
                <w:lang w:val="en-US" w:eastAsia="zh-CN" w:bidi="ar-SA"/>
              </w:rPr>
            </w:pPr>
            <w:r>
              <w:rPr>
                <w:rFonts w:hint="eastAsia" w:asciiTheme="minorEastAsia" w:hAnsiTheme="minorEastAsia" w:eastAsiaTheme="minorEastAsia" w:cstheme="minorEastAsia"/>
                <w:b/>
                <w:bCs/>
                <w:color w:val="auto"/>
                <w:kern w:val="2"/>
                <w:sz w:val="21"/>
                <w:szCs w:val="21"/>
                <w:lang w:val="en-US" w:eastAsia="zh-CN" w:bidi="ar-SA"/>
              </w:rPr>
              <w:t>前置审方</w:t>
            </w:r>
          </w:p>
        </w:tc>
        <w:tc>
          <w:tcPr>
            <w:tcW w:w="6921"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cs="宋体"/>
                <w:color w:val="auto"/>
                <w:kern w:val="0"/>
                <w:sz w:val="21"/>
                <w:szCs w:val="21"/>
                <w:lang w:val="en-US" w:eastAsia="zh-CN" w:bidi="ar"/>
              </w:rPr>
              <w:t>升级前置审方系统，让门诊、住院前置审方更流畅，速度更快，提取数据信息更完善。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11</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kern w:val="2"/>
                <w:sz w:val="21"/>
                <w:szCs w:val="21"/>
                <w:lang w:val="en-US" w:eastAsia="zh-CN" w:bidi="ar-SA"/>
              </w:rPr>
            </w:pPr>
            <w:r>
              <w:rPr>
                <w:rFonts w:hint="eastAsia" w:asciiTheme="minorEastAsia" w:hAnsiTheme="minorEastAsia" w:eastAsiaTheme="minorEastAsia" w:cstheme="minorEastAsia"/>
                <w:b/>
                <w:bCs/>
                <w:color w:val="auto"/>
                <w:kern w:val="2"/>
                <w:sz w:val="21"/>
                <w:szCs w:val="21"/>
                <w:lang w:val="en-US" w:eastAsia="zh-CN" w:bidi="ar-SA"/>
              </w:rPr>
              <w:t>前置审方</w:t>
            </w:r>
          </w:p>
        </w:tc>
        <w:tc>
          <w:tcPr>
            <w:tcW w:w="6921" w:type="dxa"/>
            <w:noWrap w:val="0"/>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设置单次剂量的拦截数量与拦截单位。当医生开药的单次剂量等于设定值时，拦截，提交人工审方。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12</w:t>
            </w:r>
          </w:p>
        </w:tc>
        <w:tc>
          <w:tcPr>
            <w:tcW w:w="1061" w:type="dxa"/>
            <w:noWrap w:val="0"/>
            <w:vAlign w:val="center"/>
          </w:tcPr>
          <w:p>
            <w:pPr>
              <w:spacing w:beforeLines="0" w:afterLines="0"/>
              <w:jc w:val="center"/>
              <w:rPr>
                <w:rFonts w:hint="eastAsia" w:asciiTheme="minorEastAsia" w:hAnsiTheme="minorEastAsia" w:eastAsiaTheme="minorEastAsia" w:cstheme="minorEastAsia"/>
                <w:b/>
                <w:bCs/>
                <w:color w:val="auto"/>
                <w:kern w:val="2"/>
                <w:sz w:val="21"/>
                <w:szCs w:val="21"/>
                <w:lang w:val="en-US" w:eastAsia="zh-CN" w:bidi="ar-SA"/>
              </w:rPr>
            </w:pPr>
            <w:r>
              <w:rPr>
                <w:rFonts w:hint="eastAsia" w:ascii="宋体" w:hAnsi="宋体"/>
                <w:b/>
                <w:color w:val="auto"/>
                <w:sz w:val="21"/>
              </w:rPr>
              <w:t>前置审方</w:t>
            </w:r>
          </w:p>
        </w:tc>
        <w:tc>
          <w:tcPr>
            <w:tcW w:w="6921" w:type="dxa"/>
            <w:noWrap w:val="0"/>
            <w:vAlign w:val="top"/>
          </w:tcPr>
          <w:p>
            <w:pPr>
              <w:spacing w:beforeLines="0" w:afterLines="0"/>
              <w:jc w:val="left"/>
              <w:rPr>
                <w:rFonts w:hint="eastAsia" w:ascii="宋体" w:hAnsi="宋体" w:eastAsia="宋体" w:cs="宋体"/>
                <w:color w:val="auto"/>
                <w:kern w:val="0"/>
                <w:sz w:val="21"/>
                <w:szCs w:val="21"/>
                <w:lang w:val="en-US" w:eastAsia="zh-CN" w:bidi="ar"/>
              </w:rPr>
            </w:pPr>
            <w:r>
              <w:rPr>
                <w:rFonts w:hint="eastAsia" w:ascii="宋体" w:hAnsi="宋体"/>
                <w:color w:val="auto"/>
                <w:sz w:val="21"/>
              </w:rPr>
              <w:t>住院药师审方平台的审方记录查询，增加以下项目：医嘱问题内容、诊断（全部诊断）、药品名称、规格、剂量、单位、频次、给药途径、备注。导出表格也同步增加。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13</w:t>
            </w:r>
          </w:p>
        </w:tc>
        <w:tc>
          <w:tcPr>
            <w:tcW w:w="1061" w:type="dxa"/>
            <w:noWrap w:val="0"/>
            <w:vAlign w:val="center"/>
          </w:tcPr>
          <w:p>
            <w:pPr>
              <w:spacing w:beforeLines="0" w:afterLines="0"/>
              <w:jc w:val="center"/>
              <w:rPr>
                <w:rFonts w:hint="eastAsia" w:asciiTheme="minorEastAsia" w:hAnsiTheme="minorEastAsia" w:eastAsiaTheme="minorEastAsia" w:cstheme="minorEastAsia"/>
                <w:b/>
                <w:bCs/>
                <w:color w:val="auto"/>
                <w:kern w:val="2"/>
                <w:sz w:val="21"/>
                <w:szCs w:val="21"/>
                <w:lang w:val="en-US" w:eastAsia="zh-CN" w:bidi="ar-SA"/>
              </w:rPr>
            </w:pPr>
            <w:r>
              <w:rPr>
                <w:rFonts w:hint="eastAsia" w:ascii="宋体" w:hAnsi="宋体"/>
                <w:b/>
                <w:color w:val="auto"/>
                <w:sz w:val="21"/>
              </w:rPr>
              <w:t>前置审方</w:t>
            </w:r>
          </w:p>
        </w:tc>
        <w:tc>
          <w:tcPr>
            <w:tcW w:w="6921" w:type="dxa"/>
            <w:noWrap w:val="0"/>
            <w:vAlign w:val="top"/>
          </w:tcPr>
          <w:p>
            <w:pPr>
              <w:spacing w:beforeLines="0" w:afterLine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color w:val="auto"/>
                <w:sz w:val="21"/>
              </w:rPr>
              <w:t>严重问题必须提交人工审方，不允许后台通过。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14</w:t>
            </w:r>
          </w:p>
        </w:tc>
        <w:tc>
          <w:tcPr>
            <w:tcW w:w="1061" w:type="dxa"/>
            <w:noWrap w:val="0"/>
            <w:vAlign w:val="center"/>
          </w:tcPr>
          <w:p>
            <w:pPr>
              <w:spacing w:beforeLines="0" w:afterLines="0"/>
              <w:jc w:val="center"/>
              <w:rPr>
                <w:rFonts w:hint="eastAsia" w:asciiTheme="minorEastAsia" w:hAnsiTheme="minorEastAsia" w:eastAsiaTheme="minorEastAsia" w:cstheme="minorEastAsia"/>
                <w:b/>
                <w:bCs/>
                <w:color w:val="auto"/>
                <w:kern w:val="2"/>
                <w:sz w:val="21"/>
                <w:szCs w:val="21"/>
                <w:lang w:val="en-US" w:eastAsia="zh-CN" w:bidi="ar-SA"/>
              </w:rPr>
            </w:pPr>
            <w:r>
              <w:rPr>
                <w:rFonts w:hint="eastAsia" w:ascii="宋体" w:hAnsi="宋体"/>
                <w:b/>
                <w:color w:val="auto"/>
                <w:sz w:val="21"/>
              </w:rPr>
              <w:t>前置审方</w:t>
            </w:r>
          </w:p>
        </w:tc>
        <w:tc>
          <w:tcPr>
            <w:tcW w:w="6921" w:type="dxa"/>
            <w:noWrap w:val="0"/>
            <w:vAlign w:val="top"/>
          </w:tcPr>
          <w:p>
            <w:pPr>
              <w:spacing w:beforeLines="0" w:afterLine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color w:val="auto"/>
                <w:sz w:val="21"/>
              </w:rPr>
              <w:t>口服β-内酰胺类药品需要规范注明皮试结果阴性/免试等文字，未注明则提交人工审方。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15</w:t>
            </w:r>
          </w:p>
        </w:tc>
        <w:tc>
          <w:tcPr>
            <w:tcW w:w="1061" w:type="dxa"/>
            <w:noWrap w:val="0"/>
            <w:vAlign w:val="center"/>
          </w:tcPr>
          <w:p>
            <w:pPr>
              <w:spacing w:beforeLines="0" w:afterLines="0"/>
              <w:jc w:val="center"/>
              <w:rPr>
                <w:rFonts w:hint="eastAsia" w:asciiTheme="minorEastAsia" w:hAnsiTheme="minorEastAsia" w:eastAsiaTheme="minorEastAsia" w:cstheme="minorEastAsia"/>
                <w:b/>
                <w:bCs/>
                <w:color w:val="auto"/>
                <w:kern w:val="2"/>
                <w:sz w:val="21"/>
                <w:szCs w:val="21"/>
                <w:lang w:val="en-US" w:eastAsia="zh-CN" w:bidi="ar-SA"/>
              </w:rPr>
            </w:pPr>
            <w:r>
              <w:rPr>
                <w:rFonts w:hint="eastAsia" w:ascii="宋体" w:hAnsi="宋体"/>
                <w:b/>
                <w:color w:val="auto"/>
                <w:sz w:val="21"/>
              </w:rPr>
              <w:t>前置审方</w:t>
            </w:r>
          </w:p>
        </w:tc>
        <w:tc>
          <w:tcPr>
            <w:tcW w:w="6921" w:type="dxa"/>
            <w:noWrap w:val="0"/>
            <w:vAlign w:val="top"/>
          </w:tcPr>
          <w:p>
            <w:pPr>
              <w:spacing w:beforeLines="0" w:afterLines="0"/>
              <w:jc w:val="left"/>
              <w:rPr>
                <w:rFonts w:hint="eastAsia" w:ascii="宋体" w:hAnsi="宋体"/>
                <w:color w:val="auto"/>
                <w:sz w:val="21"/>
              </w:rPr>
            </w:pPr>
            <w:r>
              <w:rPr>
                <w:rFonts w:hint="eastAsia" w:ascii="宋体" w:hAnsi="宋体"/>
                <w:color w:val="auto"/>
                <w:sz w:val="21"/>
              </w:rPr>
              <w:t>出院带药与血透室的临时口服医嘱里，第二类精神药品的天数限制按照以下要求设置：</w:t>
            </w:r>
          </w:p>
          <w:p>
            <w:pPr>
              <w:spacing w:beforeLines="0" w:afterLines="0"/>
              <w:jc w:val="left"/>
              <w:rPr>
                <w:rFonts w:hint="eastAsia" w:ascii="宋体" w:hAnsi="宋体"/>
                <w:color w:val="auto"/>
                <w:sz w:val="21"/>
              </w:rPr>
            </w:pPr>
            <w:r>
              <w:rPr>
                <w:rFonts w:hint="eastAsia" w:ascii="宋体" w:hAnsi="宋体"/>
                <w:color w:val="auto"/>
                <w:sz w:val="21"/>
              </w:rPr>
              <w:t>1、氨酚羟考酮片不得超过7日常用量。</w:t>
            </w:r>
          </w:p>
          <w:p>
            <w:pPr>
              <w:spacing w:beforeLines="0" w:afterLine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color w:val="auto"/>
                <w:sz w:val="21"/>
              </w:rPr>
              <w:t>2、第二类精神药品一般每张处方不得超过7日常用量；对于慢性病或某些特殊情况的患者，处方用量可以适当延长，医师应当注明理由。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16</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2"/>
                <w:sz w:val="21"/>
                <w:szCs w:val="21"/>
                <w:lang w:val="en-US" w:eastAsia="zh-CN" w:bidi="ar-SA"/>
              </w:rPr>
            </w:pPr>
            <w:r>
              <w:rPr>
                <w:rFonts w:hint="eastAsia" w:asciiTheme="minorEastAsia" w:hAnsiTheme="minorEastAsia" w:eastAsiaTheme="minorEastAsia" w:cstheme="minorEastAsia"/>
                <w:b/>
                <w:color w:val="auto"/>
                <w:kern w:val="2"/>
                <w:sz w:val="21"/>
                <w:szCs w:val="21"/>
                <w:lang w:val="en-US" w:eastAsia="zh-CN" w:bidi="ar-SA"/>
              </w:rPr>
              <w:t>前置审方</w:t>
            </w:r>
          </w:p>
        </w:tc>
        <w:tc>
          <w:tcPr>
            <w:tcW w:w="692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审方规则的设置增加适用范围</w:t>
            </w:r>
            <w:r>
              <w:rPr>
                <w:rFonts w:hint="eastAsia" w:asciiTheme="minorEastAsia" w:hAnsiTheme="minorEastAsia" w:cstheme="minorEastAsia"/>
                <w:color w:val="auto"/>
                <w:kern w:val="2"/>
                <w:sz w:val="21"/>
                <w:szCs w:val="21"/>
                <w:lang w:val="en-US" w:eastAsia="zh-CN" w:bidi="ar-SA"/>
              </w:rPr>
              <w:t>：</w:t>
            </w:r>
            <w:r>
              <w:rPr>
                <w:rFonts w:hint="eastAsia" w:asciiTheme="minorEastAsia" w:hAnsiTheme="minorEastAsia" w:eastAsiaTheme="minorEastAsia" w:cstheme="minorEastAsia"/>
                <w:color w:val="auto"/>
                <w:kern w:val="2"/>
                <w:sz w:val="21"/>
                <w:szCs w:val="21"/>
                <w:lang w:val="en-US" w:eastAsia="zh-CN" w:bidi="ar-SA"/>
              </w:rPr>
              <w:t>门诊、住院、全部；出院带药医嘱归为门诊处方，并根据门诊审方规则进行前置审核。血透室的临时口服医嘱归为门诊处方，并根据门诊审方规则进行前置审核。（主要用于拦截血透的精二药品。血透用于催眠的精二药品目前错开成一天两次，一天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rPr>
              <w:t>1</w:t>
            </w:r>
            <w:r>
              <w:rPr>
                <w:rFonts w:hint="eastAsia" w:asciiTheme="minorEastAsia" w:hAnsiTheme="minorEastAsia" w:cstheme="minorEastAsia"/>
                <w:b/>
                <w:bCs/>
                <w:color w:val="auto"/>
                <w:sz w:val="21"/>
                <w:szCs w:val="21"/>
                <w:lang w:val="en-US" w:eastAsia="zh-CN"/>
              </w:rPr>
              <w:t>7</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2"/>
                <w:sz w:val="21"/>
                <w:szCs w:val="21"/>
                <w:lang w:val="en-US" w:eastAsia="zh-CN" w:bidi="ar-SA"/>
              </w:rPr>
            </w:pPr>
            <w:r>
              <w:rPr>
                <w:rFonts w:hint="eastAsia" w:asciiTheme="minorEastAsia" w:hAnsiTheme="minorEastAsia" w:eastAsiaTheme="minorEastAsia" w:cstheme="minorEastAsia"/>
                <w:b/>
                <w:color w:val="auto"/>
                <w:kern w:val="2"/>
                <w:sz w:val="21"/>
                <w:szCs w:val="21"/>
                <w:lang w:val="en-US" w:eastAsia="zh-CN" w:bidi="ar-SA"/>
              </w:rPr>
              <w:t>前置审方</w:t>
            </w:r>
          </w:p>
        </w:tc>
        <w:tc>
          <w:tcPr>
            <w:tcW w:w="692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根据登录页面的登录人，回传药师名字。谁登录审方，就回传谁的名字。同一个院区，同一个药房，允许多人登录审方并回传。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18</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2"/>
                <w:sz w:val="21"/>
                <w:szCs w:val="21"/>
                <w:lang w:val="en-US" w:eastAsia="zh-CN" w:bidi="ar-SA"/>
              </w:rPr>
            </w:pPr>
            <w:r>
              <w:rPr>
                <w:rFonts w:hint="eastAsia" w:asciiTheme="minorEastAsia" w:hAnsiTheme="minorEastAsia" w:eastAsiaTheme="minorEastAsia" w:cstheme="minorEastAsia"/>
                <w:b/>
                <w:color w:val="auto"/>
                <w:kern w:val="2"/>
                <w:sz w:val="21"/>
                <w:szCs w:val="21"/>
                <w:lang w:val="en-US" w:eastAsia="zh-CN" w:bidi="ar-SA"/>
              </w:rPr>
              <w:t>前置审方</w:t>
            </w:r>
          </w:p>
        </w:tc>
        <w:tc>
          <w:tcPr>
            <w:tcW w:w="692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十三、营养液（三升袋）按照相应的规则进行前置审方，由静配中心负责审核。静配中心以及中药房的中草药审方，单列部门，由登录人员选择部门。这两个部门的审方不传到其他药房。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19</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color w:val="auto"/>
                <w:kern w:val="2"/>
                <w:sz w:val="21"/>
                <w:szCs w:val="21"/>
                <w:lang w:val="en-US" w:eastAsia="zh-CN" w:bidi="ar-SA"/>
              </w:rPr>
            </w:pPr>
            <w:r>
              <w:rPr>
                <w:rFonts w:hint="default" w:asciiTheme="minorEastAsia" w:hAnsiTheme="minorEastAsia" w:eastAsiaTheme="minorEastAsia" w:cstheme="minorEastAsia"/>
                <w:b/>
                <w:color w:val="auto"/>
                <w:kern w:val="2"/>
                <w:sz w:val="21"/>
                <w:szCs w:val="21"/>
                <w:lang w:val="en-US" w:eastAsia="zh-CN" w:bidi="ar-SA"/>
              </w:rPr>
              <w:t>前置审方</w:t>
            </w:r>
          </w:p>
        </w:tc>
        <w:tc>
          <w:tcPr>
            <w:tcW w:w="692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设置拦截用药频次。当医生开药的用药频次小于或者大于设定值时，拦截，提交人工审方。用药频次</w:t>
            </w:r>
            <w:r>
              <w:rPr>
                <w:rFonts w:hint="eastAsia" w:ascii="宋体" w:hAnsi="宋体"/>
                <w:color w:val="auto"/>
                <w:kern w:val="0"/>
                <w:sz w:val="21"/>
              </w:rPr>
              <w:t>判断可按“大于”、“大于等于”、“小于”、“小于等于”、“等于”、“不等于”等多种条件判断。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20</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2"/>
                <w:sz w:val="21"/>
                <w:szCs w:val="21"/>
                <w:lang w:val="en-US" w:eastAsia="zh-CN" w:bidi="ar-SA"/>
              </w:rPr>
            </w:pPr>
            <w:r>
              <w:rPr>
                <w:rFonts w:hint="eastAsia" w:asciiTheme="minorEastAsia" w:hAnsiTheme="minorEastAsia" w:eastAsiaTheme="minorEastAsia" w:cstheme="minorEastAsia"/>
                <w:b/>
                <w:color w:val="auto"/>
                <w:kern w:val="2"/>
                <w:sz w:val="21"/>
                <w:szCs w:val="21"/>
                <w:lang w:val="en-US" w:eastAsia="zh-CN" w:bidi="ar-SA"/>
              </w:rPr>
              <w:t>前置审方</w:t>
            </w:r>
          </w:p>
        </w:tc>
        <w:tc>
          <w:tcPr>
            <w:tcW w:w="692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根据HIS系统的医嘱执行频率字典的缺省执行时间表，设置同一药品代码的药品，有两条及两条以上医嘱的执行时间相同，造成重叠时，拦截，提交人工审方。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21</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2"/>
                <w:sz w:val="21"/>
                <w:szCs w:val="21"/>
                <w:lang w:val="en-US" w:eastAsia="zh-CN" w:bidi="ar-SA"/>
              </w:rPr>
            </w:pPr>
            <w:r>
              <w:rPr>
                <w:rFonts w:hint="eastAsia" w:asciiTheme="minorEastAsia" w:hAnsiTheme="minorEastAsia" w:eastAsiaTheme="minorEastAsia" w:cstheme="minorEastAsia"/>
                <w:b/>
                <w:color w:val="auto"/>
                <w:kern w:val="2"/>
                <w:sz w:val="21"/>
                <w:szCs w:val="21"/>
                <w:lang w:val="en-US" w:eastAsia="zh-CN" w:bidi="ar-SA"/>
              </w:rPr>
              <w:t>前置审方</w:t>
            </w:r>
          </w:p>
        </w:tc>
        <w:tc>
          <w:tcPr>
            <w:tcW w:w="692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出院带药天数=发药总量/频次/次剂量。设置拦截的用药天数，当医生出院带药开药的用药天数小于、等于、或者大于设定值时，可以进行一般、二级问题、拦截的三级设置。此规则适用于血透的临时医嘱口服药。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22</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2"/>
                <w:sz w:val="21"/>
                <w:szCs w:val="21"/>
                <w:lang w:val="en-US" w:eastAsia="zh-CN" w:bidi="ar-SA"/>
              </w:rPr>
            </w:pPr>
            <w:r>
              <w:rPr>
                <w:rFonts w:hint="eastAsia" w:asciiTheme="minorEastAsia" w:hAnsiTheme="minorEastAsia" w:eastAsiaTheme="minorEastAsia" w:cstheme="minorEastAsia"/>
                <w:b/>
                <w:color w:val="auto"/>
                <w:kern w:val="2"/>
                <w:sz w:val="21"/>
                <w:szCs w:val="21"/>
                <w:lang w:val="en-US" w:eastAsia="zh-CN" w:bidi="ar-SA"/>
              </w:rPr>
              <w:t>前置审方</w:t>
            </w:r>
          </w:p>
        </w:tc>
        <w:tc>
          <w:tcPr>
            <w:tcW w:w="692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设置当“该药药品处方总量小于单日用药总量”时，拦截，提交人工审方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23</w:t>
            </w:r>
          </w:p>
        </w:tc>
        <w:tc>
          <w:tcPr>
            <w:tcW w:w="1061" w:type="dxa"/>
            <w:noWrap w:val="0"/>
            <w:vAlign w:val="center"/>
          </w:tcPr>
          <w:p>
            <w:pPr>
              <w:spacing w:beforeLines="0" w:afterLines="0"/>
              <w:jc w:val="center"/>
              <w:rPr>
                <w:rFonts w:hint="eastAsia" w:asciiTheme="minorEastAsia" w:hAnsiTheme="minorEastAsia" w:eastAsiaTheme="minorEastAsia" w:cstheme="minorEastAsia"/>
                <w:b/>
                <w:color w:val="auto"/>
                <w:kern w:val="2"/>
                <w:sz w:val="21"/>
                <w:szCs w:val="21"/>
                <w:lang w:val="en-US" w:eastAsia="zh-CN" w:bidi="ar-SA"/>
              </w:rPr>
            </w:pPr>
            <w:r>
              <w:rPr>
                <w:rFonts w:hint="eastAsia" w:ascii="宋体" w:hAnsi="宋体"/>
                <w:b/>
                <w:color w:val="auto"/>
                <w:sz w:val="21"/>
              </w:rPr>
              <w:t>处方点评</w:t>
            </w:r>
          </w:p>
        </w:tc>
        <w:tc>
          <w:tcPr>
            <w:tcW w:w="6921" w:type="dxa"/>
            <w:noWrap w:val="0"/>
            <w:vAlign w:val="top"/>
          </w:tcPr>
          <w:p>
            <w:pPr>
              <w:spacing w:beforeLines="0" w:afterLine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color w:val="auto"/>
                <w:sz w:val="21"/>
              </w:rPr>
              <w:t>临床药学工作站、处方点评系统中现有自定义知识库设置需要根据实际修改设置：如1、系统提供配伍禁忌与相互作用问题等级调整设置，医院可以自定义调整问题等级；2、在原有的常规用药量审核功能之上，增加由医院自定义设置、调整药品常规用药量范围，以及常规用药频次；3、诊断与药品禁忌知识库设置中，医院可以自定义新增、修改、删除药品禁忌症规则</w:t>
            </w:r>
            <w:r>
              <w:rPr>
                <w:rFonts w:hint="eastAsia" w:ascii="宋体" w:hAnsi="宋体"/>
                <w:color w:val="auto"/>
                <w:sz w:val="21"/>
                <w:lang w:eastAsia="zh-CN"/>
              </w:rPr>
              <w:t>等</w:t>
            </w:r>
            <w:r>
              <w:rPr>
                <w:rFonts w:hint="eastAsia" w:ascii="宋体" w:hAnsi="宋体"/>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24</w:t>
            </w:r>
          </w:p>
        </w:tc>
        <w:tc>
          <w:tcPr>
            <w:tcW w:w="1061" w:type="dxa"/>
            <w:noWrap w:val="0"/>
            <w:vAlign w:val="center"/>
          </w:tcPr>
          <w:p>
            <w:pPr>
              <w:spacing w:beforeLines="0" w:afterLines="0"/>
              <w:jc w:val="center"/>
              <w:rPr>
                <w:rFonts w:hint="eastAsia" w:asciiTheme="minorEastAsia" w:hAnsiTheme="minorEastAsia" w:eastAsiaTheme="minorEastAsia" w:cstheme="minorEastAsia"/>
                <w:b/>
                <w:color w:val="auto"/>
                <w:kern w:val="2"/>
                <w:sz w:val="21"/>
                <w:szCs w:val="21"/>
                <w:lang w:val="en-US" w:eastAsia="zh-CN" w:bidi="ar-SA"/>
              </w:rPr>
            </w:pPr>
            <w:r>
              <w:rPr>
                <w:rFonts w:hint="eastAsia" w:ascii="宋体" w:hAnsi="宋体"/>
                <w:b/>
                <w:color w:val="auto"/>
                <w:sz w:val="21"/>
              </w:rPr>
              <w:t>处方点评</w:t>
            </w:r>
          </w:p>
        </w:tc>
        <w:tc>
          <w:tcPr>
            <w:tcW w:w="6921" w:type="dxa"/>
            <w:noWrap w:val="0"/>
            <w:vAlign w:val="top"/>
          </w:tcPr>
          <w:p>
            <w:pPr>
              <w:spacing w:beforeLines="0" w:afterLine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color w:val="auto"/>
                <w:sz w:val="21"/>
              </w:rPr>
              <w:t>处方点评系统点评处方及医嘱的闭环功能未完善，医生反馈意见在处方点评系统应达到弹窗提示。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25</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2"/>
                <w:sz w:val="21"/>
                <w:szCs w:val="21"/>
                <w:lang w:val="en-US" w:eastAsia="zh-CN" w:bidi="ar-SA"/>
              </w:rPr>
            </w:pPr>
            <w:r>
              <w:rPr>
                <w:rFonts w:hint="eastAsia" w:asciiTheme="minorEastAsia" w:hAnsiTheme="minorEastAsia" w:eastAsiaTheme="minorEastAsia" w:cstheme="minorEastAsia"/>
                <w:b/>
                <w:color w:val="auto"/>
                <w:kern w:val="2"/>
                <w:sz w:val="21"/>
                <w:szCs w:val="21"/>
                <w:lang w:val="en-US" w:eastAsia="zh-CN" w:bidi="ar-SA"/>
              </w:rPr>
              <w:t>处方点评</w:t>
            </w:r>
          </w:p>
        </w:tc>
        <w:tc>
          <w:tcPr>
            <w:tcW w:w="692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根据医院开展的专项药品点评，完善各个相关专项的汇总（门诊及住院）。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26</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2"/>
                <w:sz w:val="21"/>
                <w:szCs w:val="21"/>
                <w:lang w:val="en-US" w:eastAsia="zh-CN" w:bidi="ar-SA"/>
              </w:rPr>
            </w:pPr>
            <w:r>
              <w:rPr>
                <w:rFonts w:hint="eastAsia" w:asciiTheme="minorEastAsia" w:hAnsiTheme="minorEastAsia" w:eastAsiaTheme="minorEastAsia" w:cstheme="minorEastAsia"/>
                <w:b/>
                <w:color w:val="auto"/>
                <w:kern w:val="2"/>
                <w:sz w:val="21"/>
                <w:szCs w:val="21"/>
                <w:lang w:val="en-US" w:eastAsia="zh-CN" w:bidi="ar-SA"/>
              </w:rPr>
              <w:t>处方点评</w:t>
            </w:r>
          </w:p>
        </w:tc>
        <w:tc>
          <w:tcPr>
            <w:tcW w:w="692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住院医嘱抽样与点评：点击“打开已保存的历史抽查结果”从历史抽查记录中选中一条抽样信息后，</w:t>
            </w:r>
            <w:r>
              <w:rPr>
                <w:rFonts w:hint="eastAsia" w:asciiTheme="minorEastAsia" w:hAnsiTheme="minorEastAsia" w:cstheme="minorEastAsia"/>
                <w:color w:val="auto"/>
                <w:kern w:val="2"/>
                <w:sz w:val="21"/>
                <w:szCs w:val="21"/>
                <w:lang w:val="en-US" w:eastAsia="zh-CN" w:bidi="ar-SA"/>
              </w:rPr>
              <w:t>能</w:t>
            </w:r>
            <w:r>
              <w:rPr>
                <w:rFonts w:hint="eastAsia" w:asciiTheme="minorEastAsia" w:hAnsiTheme="minorEastAsia" w:eastAsiaTheme="minorEastAsia" w:cstheme="minorEastAsia"/>
                <w:color w:val="auto"/>
                <w:kern w:val="2"/>
                <w:sz w:val="21"/>
                <w:szCs w:val="21"/>
                <w:lang w:val="en-US" w:eastAsia="zh-CN" w:bidi="ar-SA"/>
              </w:rPr>
              <w:t>回到历史抽查记录界面</w:t>
            </w:r>
            <w:r>
              <w:rPr>
                <w:rFonts w:hint="eastAsia" w:asciiTheme="minorEastAsia" w:hAnsiTheme="minorEastAsia" w:cstheme="minorEastAsia"/>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27</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2"/>
                <w:sz w:val="21"/>
                <w:szCs w:val="21"/>
                <w:lang w:val="en-US" w:eastAsia="zh-CN" w:bidi="ar-SA"/>
              </w:rPr>
            </w:pPr>
            <w:r>
              <w:rPr>
                <w:rFonts w:hint="eastAsia" w:asciiTheme="minorEastAsia" w:hAnsiTheme="minorEastAsia" w:eastAsiaTheme="minorEastAsia" w:cstheme="minorEastAsia"/>
                <w:b/>
                <w:color w:val="auto"/>
                <w:kern w:val="2"/>
                <w:sz w:val="21"/>
                <w:szCs w:val="21"/>
                <w:lang w:val="en-US" w:eastAsia="zh-CN" w:bidi="ar-SA"/>
              </w:rPr>
              <w:t>处方点评</w:t>
            </w:r>
          </w:p>
        </w:tc>
        <w:tc>
          <w:tcPr>
            <w:tcW w:w="692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住院医嘱抽样与点评：若先填好“科室选择”、“药品查询”、“住院号”等信息，</w:t>
            </w:r>
            <w:r>
              <w:rPr>
                <w:rFonts w:hint="eastAsia" w:asciiTheme="minorEastAsia" w:hAnsiTheme="minorEastAsia" w:cstheme="minorEastAsia"/>
                <w:color w:val="auto"/>
                <w:kern w:val="2"/>
                <w:sz w:val="21"/>
                <w:szCs w:val="21"/>
                <w:lang w:val="en-US" w:eastAsia="zh-CN" w:bidi="ar-SA"/>
              </w:rPr>
              <w:t>先后</w:t>
            </w:r>
            <w:r>
              <w:rPr>
                <w:rFonts w:hint="eastAsia" w:asciiTheme="minorEastAsia" w:hAnsiTheme="minorEastAsia" w:eastAsiaTheme="minorEastAsia" w:cstheme="minorEastAsia"/>
                <w:color w:val="auto"/>
                <w:kern w:val="2"/>
                <w:sz w:val="21"/>
                <w:szCs w:val="21"/>
                <w:lang w:val="en-US" w:eastAsia="zh-CN" w:bidi="ar-SA"/>
              </w:rPr>
              <w:t>填哪些信息都可以抽查</w:t>
            </w:r>
            <w:r>
              <w:rPr>
                <w:rFonts w:hint="eastAsia" w:asciiTheme="minorEastAsia" w:hAnsiTheme="minorEastAsia" w:cstheme="minorEastAsia"/>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28</w:t>
            </w:r>
            <w:bookmarkStart w:id="0" w:name="_GoBack"/>
            <w:bookmarkEnd w:id="0"/>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2"/>
                <w:sz w:val="21"/>
                <w:szCs w:val="21"/>
                <w:lang w:val="en-US" w:eastAsia="zh-CN" w:bidi="ar-SA"/>
              </w:rPr>
            </w:pPr>
            <w:r>
              <w:rPr>
                <w:rFonts w:hint="eastAsia" w:asciiTheme="minorEastAsia" w:hAnsiTheme="minorEastAsia" w:eastAsiaTheme="minorEastAsia" w:cstheme="minorEastAsia"/>
                <w:b/>
                <w:color w:val="auto"/>
                <w:kern w:val="2"/>
                <w:sz w:val="21"/>
                <w:szCs w:val="21"/>
                <w:lang w:val="en-US" w:eastAsia="zh-CN" w:bidi="ar-SA"/>
              </w:rPr>
              <w:t>处方点评</w:t>
            </w:r>
          </w:p>
        </w:tc>
        <w:tc>
          <w:tcPr>
            <w:tcW w:w="692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点评系统抽取数据后导出数据形成excel表格，需求内容：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1、excel数据中处方日期/入院、出院时间年月日和时分秒分为两列独立内容，以便筛选、排序；</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2、excel数据中涉及药物应每个药物作为一个对象独立成行，用法用量分成两列独立数据，应能统计、筛选。</w:t>
            </w:r>
          </w:p>
        </w:tc>
      </w:tr>
    </w:tbl>
    <w:p>
      <w:pPr>
        <w:pStyle w:val="2"/>
        <w:rPr>
          <w:rFonts w:ascii="宋体" w:hAnsi="宋体" w:eastAsia="宋体" w:cs="宋体"/>
          <w:b/>
          <w:bCs/>
          <w:color w:val="auto"/>
          <w:sz w:val="28"/>
          <w:lang w:val="en-US"/>
        </w:rPr>
      </w:pPr>
      <w:r>
        <w:rPr>
          <w:rFonts w:hint="eastAsia" w:ascii="宋体" w:hAnsi="宋体" w:eastAsia="宋体" w:cs="宋体"/>
          <w:b/>
          <w:bCs/>
          <w:color w:val="auto"/>
          <w:sz w:val="28"/>
          <w:lang w:val="en-US"/>
        </w:rPr>
        <w:t>三、对接口及系统改造的要求</w:t>
      </w:r>
    </w:p>
    <w:p>
      <w:pPr>
        <w:rPr>
          <w:rFonts w:ascii="宋体" w:hAnsi="宋体" w:eastAsia="宋体" w:cs="宋体"/>
          <w:b/>
          <w:bCs/>
          <w:color w:val="auto"/>
          <w:sz w:val="24"/>
          <w:szCs w:val="24"/>
        </w:rPr>
      </w:pPr>
      <w:r>
        <w:rPr>
          <w:rFonts w:hint="eastAsia" w:ascii="宋体" w:hAnsi="宋体" w:eastAsia="宋体" w:cs="宋体"/>
          <w:b/>
          <w:bCs/>
          <w:color w:val="auto"/>
          <w:sz w:val="24"/>
          <w:szCs w:val="24"/>
        </w:rPr>
        <w:t>维保期内免费实现以下要求：</w:t>
      </w:r>
    </w:p>
    <w:p>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color w:val="auto"/>
          <w:sz w:val="24"/>
          <w:lang w:val="en-US"/>
        </w:rPr>
      </w:pPr>
      <w:r>
        <w:rPr>
          <w:rFonts w:hint="eastAsia" w:ascii="宋体" w:hAnsi="宋体" w:eastAsia="宋体" w:cs="宋体"/>
          <w:color w:val="auto"/>
          <w:sz w:val="24"/>
          <w:lang w:val="en-US"/>
        </w:rPr>
        <w:t>3.1提供全面的接口技术，与第三方系统共享数据和功能，这些接口技术包括中间件技术接口、WEBSEVICE通用接口、数据库级接口、文件文本接口等。</w:t>
      </w:r>
    </w:p>
    <w:p>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color w:val="auto"/>
          <w:sz w:val="24"/>
          <w:lang w:val="en-US"/>
        </w:rPr>
      </w:pPr>
      <w:r>
        <w:rPr>
          <w:rFonts w:hint="eastAsia" w:ascii="宋体" w:hAnsi="宋体" w:eastAsia="宋体" w:cs="宋体"/>
          <w:color w:val="auto"/>
          <w:sz w:val="24"/>
          <w:lang w:val="en-US"/>
        </w:rPr>
        <w:t>3.2提供与医院第三方系统统一接口的维护与管理，与HIS、电子病历、LIS、PACS、心电系统、体检系统、集成平台、成本管理系统、排班系统、</w:t>
      </w:r>
      <w:r>
        <w:rPr>
          <w:rFonts w:hint="eastAsia" w:ascii="宋体" w:hAnsi="宋体" w:eastAsia="宋体" w:cs="宋体"/>
          <w:color w:val="auto"/>
          <w:sz w:val="24"/>
          <w:lang w:val="en-US" w:eastAsia="zh-CN"/>
        </w:rPr>
        <w:t>人力资源</w:t>
      </w:r>
      <w:r>
        <w:rPr>
          <w:rFonts w:hint="eastAsia" w:ascii="宋体" w:hAnsi="宋体" w:eastAsia="宋体" w:cs="宋体"/>
          <w:color w:val="auto"/>
          <w:sz w:val="24"/>
          <w:lang w:val="en-US"/>
        </w:rPr>
        <w:t>管理系统、财务管理系统、互联网医院、OA系统、自助服务平台、DRG管理、绩效管理、电子发票、短信平台、财务电子档案</w:t>
      </w:r>
      <w:r>
        <w:rPr>
          <w:rFonts w:hint="eastAsia" w:ascii="宋体" w:hAnsi="宋体" w:eastAsia="宋体" w:cs="宋体"/>
          <w:color w:val="auto"/>
          <w:sz w:val="24"/>
          <w:lang w:val="en-US" w:eastAsia="zh-CN"/>
        </w:rPr>
        <w:t>、固定资产管理</w:t>
      </w:r>
      <w:r>
        <w:rPr>
          <w:rFonts w:hint="eastAsia" w:ascii="宋体" w:hAnsi="宋体" w:eastAsia="宋体" w:cs="宋体"/>
          <w:color w:val="auto"/>
          <w:sz w:val="24"/>
          <w:lang w:val="en-US"/>
        </w:rPr>
        <w:t>等其他所有医院相关业务系统（包括以上医院系统但不仅限于以上系统）进行免费接口对接，实现数据交换。</w:t>
      </w:r>
    </w:p>
    <w:p>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color w:val="auto"/>
          <w:sz w:val="24"/>
          <w:lang w:val="en-US"/>
        </w:rPr>
      </w:pPr>
      <w:r>
        <w:rPr>
          <w:rFonts w:hint="eastAsia" w:ascii="宋体" w:hAnsi="宋体" w:eastAsia="宋体" w:cs="宋体"/>
          <w:color w:val="auto"/>
          <w:sz w:val="24"/>
          <w:lang w:val="en-US"/>
        </w:rPr>
        <w:t>3.3满足医院电子病历系统功能应用水平分级评价达到6级以上评审、医院信息互联互通标准化成熟度测评达到</w:t>
      </w:r>
      <w:r>
        <w:rPr>
          <w:rFonts w:hint="eastAsia" w:ascii="宋体" w:hAnsi="宋体" w:eastAsia="宋体" w:cs="宋体"/>
          <w:color w:val="auto"/>
          <w:sz w:val="24"/>
          <w:lang w:val="en-US" w:eastAsia="zh-CN"/>
        </w:rPr>
        <w:t>五</w:t>
      </w:r>
      <w:r>
        <w:rPr>
          <w:rFonts w:hint="eastAsia" w:ascii="宋体" w:hAnsi="宋体" w:eastAsia="宋体" w:cs="宋体"/>
          <w:color w:val="auto"/>
          <w:sz w:val="24"/>
          <w:lang w:val="en-US"/>
        </w:rPr>
        <w:t>级</w:t>
      </w:r>
      <w:r>
        <w:rPr>
          <w:rFonts w:hint="eastAsia" w:ascii="宋体" w:hAnsi="宋体" w:eastAsia="宋体" w:cs="宋体"/>
          <w:color w:val="auto"/>
          <w:sz w:val="24"/>
          <w:lang w:val="en-US" w:eastAsia="zh-CN"/>
        </w:rPr>
        <w:t>乙</w:t>
      </w:r>
      <w:r>
        <w:rPr>
          <w:rFonts w:hint="eastAsia" w:ascii="宋体" w:hAnsi="宋体" w:eastAsia="宋体" w:cs="宋体"/>
          <w:color w:val="auto"/>
          <w:sz w:val="24"/>
          <w:lang w:val="en-US"/>
        </w:rPr>
        <w:t>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color w:val="auto"/>
          <w:sz w:val="24"/>
          <w:lang w:val="en-US"/>
        </w:rPr>
      </w:pPr>
      <w:r>
        <w:rPr>
          <w:rFonts w:hint="eastAsia" w:ascii="宋体" w:hAnsi="宋体" w:eastAsia="宋体" w:cs="宋体"/>
          <w:color w:val="auto"/>
          <w:sz w:val="24"/>
          <w:lang w:val="en-US"/>
        </w:rPr>
        <w:t>3.4提供软件免费升级及个性化修改服务，免费实现院方的个性化需求；软件自身错误类问题提供永久性免费修改服务；</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rPr>
        <w:t>3.5免费提供医院新增业务信息系统的对接、免费实现医院上级管理部门要求的系统接口对接要求。</w:t>
      </w:r>
    </w:p>
    <w:p>
      <w:pPr>
        <w:pStyle w:val="2"/>
        <w:rPr>
          <w:rFonts w:hint="eastAsia" w:ascii="宋体" w:hAnsi="宋体" w:eastAsia="宋体" w:cs="宋体"/>
          <w:b/>
          <w:bCs/>
          <w:color w:val="auto"/>
          <w:sz w:val="28"/>
          <w:lang w:val="en-US" w:eastAsia="zh-CN"/>
        </w:rPr>
      </w:pPr>
      <w:r>
        <w:rPr>
          <w:rFonts w:hint="eastAsia" w:ascii="宋体" w:hAnsi="宋体" w:eastAsia="宋体" w:cs="宋体"/>
          <w:b/>
          <w:bCs/>
          <w:color w:val="auto"/>
          <w:sz w:val="28"/>
          <w:lang w:val="en-US" w:eastAsia="zh-CN"/>
        </w:rPr>
        <w:t>四、售后服务及其他要求</w:t>
      </w:r>
    </w:p>
    <w:p>
      <w:pPr>
        <w:pStyle w:val="5"/>
        <w:keepNext w:val="0"/>
        <w:keepLines w:val="0"/>
        <w:pageBreakBefore w:val="0"/>
        <w:kinsoku/>
        <w:wordWrap/>
        <w:overflowPunct/>
        <w:topLinePunct w:val="0"/>
        <w:autoSpaceDE/>
        <w:autoSpaceDN/>
        <w:bidi w:val="0"/>
        <w:adjustRightInd/>
        <w:snapToGrid/>
        <w:spacing w:line="480" w:lineRule="auto"/>
        <w:ind w:firstLine="480" w:firstLineChars="200"/>
        <w:jc w:val="left"/>
        <w:textAlignment w:val="auto"/>
        <w:rPr>
          <w:rFonts w:ascii="宋体" w:hAnsi="宋体" w:cs="宋体"/>
          <w:color w:val="auto"/>
          <w:kern w:val="2"/>
          <w:sz w:val="24"/>
          <w:szCs w:val="24"/>
        </w:rPr>
      </w:pPr>
      <w:r>
        <w:rPr>
          <w:rFonts w:hint="eastAsia" w:ascii="宋体" w:hAnsi="宋体" w:eastAsia="宋体" w:cs="微软雅黑"/>
          <w:color w:val="auto"/>
          <w:sz w:val="24"/>
          <w:szCs w:val="24"/>
          <w:lang w:val="en-US" w:eastAsia="zh-CN"/>
        </w:rPr>
        <w:t>4</w:t>
      </w:r>
      <w:r>
        <w:rPr>
          <w:rFonts w:hint="eastAsia" w:ascii="宋体" w:hAnsi="宋体" w:eastAsia="宋体" w:cs="微软雅黑"/>
          <w:color w:val="auto"/>
          <w:sz w:val="24"/>
          <w:szCs w:val="24"/>
        </w:rPr>
        <w:t>.1自</w:t>
      </w:r>
      <w:r>
        <w:rPr>
          <w:rFonts w:hint="eastAsia" w:ascii="宋体" w:hAnsi="宋体" w:cs="宋体"/>
          <w:color w:val="auto"/>
          <w:kern w:val="2"/>
          <w:sz w:val="24"/>
          <w:szCs w:val="24"/>
        </w:rPr>
        <w:t>安装调试要求：免费安装调试、提供完善的软件系统使用中文操作手册、图纸、网络详细拓扑图、系统配置、功能配置、设备配置及互联记录；</w:t>
      </w:r>
    </w:p>
    <w:p>
      <w:pPr>
        <w:pStyle w:val="5"/>
        <w:keepNext w:val="0"/>
        <w:keepLines w:val="0"/>
        <w:pageBreakBefore w:val="0"/>
        <w:kinsoku/>
        <w:wordWrap/>
        <w:overflowPunct/>
        <w:topLinePunct w:val="0"/>
        <w:autoSpaceDE/>
        <w:autoSpaceDN/>
        <w:bidi w:val="0"/>
        <w:adjustRightInd/>
        <w:snapToGrid/>
        <w:spacing w:line="480" w:lineRule="auto"/>
        <w:ind w:firstLine="480" w:firstLineChars="200"/>
        <w:jc w:val="left"/>
        <w:textAlignment w:val="auto"/>
        <w:rPr>
          <w:rFonts w:ascii="宋体" w:hAnsi="宋体" w:cs="宋体"/>
          <w:color w:val="auto"/>
          <w:kern w:val="2"/>
          <w:sz w:val="24"/>
          <w:szCs w:val="24"/>
        </w:rPr>
      </w:pPr>
      <w:r>
        <w:rPr>
          <w:rFonts w:hint="eastAsia" w:ascii="宋体" w:hAnsi="宋体" w:cs="宋体"/>
          <w:color w:val="auto"/>
          <w:kern w:val="2"/>
          <w:sz w:val="24"/>
          <w:szCs w:val="24"/>
          <w:lang w:val="en-US" w:eastAsia="zh-CN"/>
        </w:rPr>
        <w:t>4</w:t>
      </w:r>
      <w:r>
        <w:rPr>
          <w:rFonts w:hint="eastAsia" w:ascii="宋体" w:hAnsi="宋体" w:cs="宋体"/>
          <w:color w:val="auto"/>
          <w:kern w:val="2"/>
          <w:sz w:val="24"/>
          <w:szCs w:val="24"/>
        </w:rPr>
        <w:t>.</w:t>
      </w:r>
      <w:r>
        <w:rPr>
          <w:rFonts w:hint="eastAsia" w:ascii="宋体" w:hAnsi="宋体" w:cs="宋体"/>
          <w:color w:val="auto"/>
          <w:kern w:val="2"/>
          <w:sz w:val="24"/>
          <w:szCs w:val="24"/>
          <w:lang w:val="en-US" w:eastAsia="zh-CN"/>
        </w:rPr>
        <w:t>2</w:t>
      </w:r>
      <w:r>
        <w:rPr>
          <w:rFonts w:hint="eastAsia" w:ascii="宋体" w:hAnsi="宋体" w:cs="宋体"/>
          <w:color w:val="auto"/>
          <w:kern w:val="2"/>
          <w:sz w:val="24"/>
          <w:szCs w:val="24"/>
        </w:rPr>
        <w:t>原厂技术人员免费提供售后服务，含电话支持、现场响应、远程操作、网上客服中心等多种方式服务，应做到7×24小时全天候电话或微信等常用联系方式响应。当出现故障时，接到故障通知后，原厂技术人员应在30分钟内响应，远程技术支持无法解决的，6小时内需到达现场处理修复，并调查分析事故原因。</w:t>
      </w:r>
    </w:p>
    <w:p>
      <w:pPr>
        <w:pStyle w:val="2"/>
        <w:keepNext w:val="0"/>
        <w:keepLines w:val="0"/>
        <w:pageBreakBefore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s="宋体"/>
          <w:color w:val="auto"/>
          <w:sz w:val="24"/>
          <w:szCs w:val="24"/>
        </w:rPr>
      </w:pPr>
      <w:r>
        <w:rPr>
          <w:rFonts w:hint="eastAsia" w:ascii="宋体" w:hAnsi="宋体" w:eastAsia="宋体" w:cs="微软雅黑"/>
          <w:color w:val="auto"/>
          <w:sz w:val="24"/>
          <w:szCs w:val="24"/>
          <w:lang w:val="en-US" w:eastAsia="zh-CN"/>
        </w:rPr>
        <w:t>4</w:t>
      </w:r>
      <w:r>
        <w:rPr>
          <w:rFonts w:hint="eastAsia" w:ascii="宋体" w:hAnsi="宋体" w:eastAsia="宋体" w:cs="微软雅黑"/>
          <w:color w:val="auto"/>
          <w:sz w:val="24"/>
          <w:szCs w:val="24"/>
        </w:rPr>
        <w:t>.</w:t>
      </w:r>
      <w:r>
        <w:rPr>
          <w:rFonts w:hint="eastAsia" w:ascii="宋体" w:hAnsi="宋体" w:eastAsia="宋体" w:cs="微软雅黑"/>
          <w:color w:val="auto"/>
          <w:sz w:val="24"/>
          <w:szCs w:val="24"/>
          <w:lang w:val="en-US" w:eastAsia="zh-CN"/>
        </w:rPr>
        <w:t>3</w:t>
      </w:r>
      <w:r>
        <w:rPr>
          <w:rFonts w:hint="eastAsia" w:ascii="宋体" w:hAnsi="宋体" w:cs="宋体"/>
          <w:color w:val="auto"/>
          <w:sz w:val="24"/>
          <w:szCs w:val="24"/>
        </w:rPr>
        <w:t>供应商提供原厂技术人员定期回访服务，定期通过电话或其他方式访问用户，了解产品使用情况及网络安全情况，须在每</w:t>
      </w:r>
      <w:r>
        <w:rPr>
          <w:rFonts w:hint="eastAsia" w:ascii="宋体" w:hAnsi="宋体" w:cs="宋体"/>
          <w:color w:val="auto"/>
          <w:sz w:val="24"/>
          <w:szCs w:val="24"/>
          <w:lang w:val="en-US" w:eastAsia="zh-CN"/>
        </w:rPr>
        <w:t>半年</w:t>
      </w:r>
      <w:r>
        <w:rPr>
          <w:rFonts w:hint="eastAsia" w:ascii="宋体" w:hAnsi="宋体" w:cs="宋体"/>
          <w:color w:val="auto"/>
          <w:sz w:val="24"/>
          <w:szCs w:val="24"/>
        </w:rPr>
        <w:t>进行一次现场巡检，并形成书面巡检服务报告，加盖有效公章并反馈给我院（要求提供巡检报告模板，内容涉及此项目相关</w:t>
      </w:r>
      <w:r>
        <w:rPr>
          <w:rFonts w:hint="eastAsia" w:ascii="宋体" w:hAnsi="宋体" w:cs="宋体"/>
          <w:color w:val="auto"/>
          <w:sz w:val="24"/>
          <w:szCs w:val="24"/>
          <w:lang w:val="en-US" w:eastAsia="zh-CN"/>
        </w:rPr>
        <w:t>软件</w:t>
      </w:r>
      <w:r>
        <w:rPr>
          <w:rFonts w:hint="eastAsia" w:ascii="宋体" w:hAnsi="宋体" w:cs="宋体"/>
          <w:color w:val="auto"/>
          <w:sz w:val="24"/>
          <w:szCs w:val="24"/>
        </w:rPr>
        <w:t>的运行情况及现场巡检照片）。</w:t>
      </w:r>
    </w:p>
    <w:p>
      <w:pPr>
        <w:pStyle w:val="2"/>
        <w:spacing w:after="0"/>
        <w:rPr>
          <w:rFonts w:ascii="宋体" w:hAnsi="宋体" w:eastAsia="宋体" w:cs="宋体"/>
          <w:b/>
          <w:bCs/>
          <w:color w:val="auto"/>
          <w:sz w:val="28"/>
          <w:lang w:val="en-US"/>
        </w:rPr>
      </w:pPr>
      <w:r>
        <w:rPr>
          <w:rFonts w:hint="eastAsia" w:ascii="宋体" w:hAnsi="宋体" w:eastAsia="宋体" w:cs="宋体"/>
          <w:b/>
          <w:bCs/>
          <w:color w:val="auto"/>
          <w:sz w:val="28"/>
          <w:lang w:val="en-US" w:eastAsia="zh-CN"/>
        </w:rPr>
        <w:t>五</w:t>
      </w:r>
      <w:r>
        <w:rPr>
          <w:rFonts w:hint="eastAsia" w:ascii="宋体" w:hAnsi="宋体" w:eastAsia="宋体" w:cs="宋体"/>
          <w:b/>
          <w:bCs/>
          <w:color w:val="auto"/>
          <w:sz w:val="28"/>
          <w:lang w:val="en-US"/>
        </w:rPr>
        <w:t>、违约责任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.1投标方所提供的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不合格的，应及时</w:t>
      </w:r>
      <w:r>
        <w:rPr>
          <w:rFonts w:hint="eastAsia" w:ascii="宋体" w:hAnsi="宋体" w:eastAsia="宋体" w:cs="宋体"/>
          <w:color w:val="auto"/>
          <w:sz w:val="24"/>
          <w:szCs w:val="24"/>
          <w:lang w:val="en-US" w:eastAsia="zh-CN"/>
        </w:rPr>
        <w:t>调整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调整</w:t>
      </w:r>
      <w:r>
        <w:rPr>
          <w:rFonts w:hint="eastAsia" w:ascii="宋体" w:hAnsi="宋体" w:eastAsia="宋体" w:cs="宋体"/>
          <w:color w:val="auto"/>
          <w:sz w:val="24"/>
          <w:szCs w:val="24"/>
        </w:rPr>
        <w:t>不及时的按逾期</w:t>
      </w:r>
      <w:r>
        <w:rPr>
          <w:rFonts w:hint="eastAsia" w:ascii="宋体" w:hAnsi="宋体" w:eastAsia="宋体" w:cs="宋体"/>
          <w:color w:val="auto"/>
          <w:sz w:val="24"/>
          <w:szCs w:val="24"/>
          <w:lang w:val="en-US" w:eastAsia="zh-CN"/>
        </w:rPr>
        <w:t>提供服务</w:t>
      </w:r>
      <w:r>
        <w:rPr>
          <w:rFonts w:hint="eastAsia" w:ascii="宋体" w:hAnsi="宋体" w:eastAsia="宋体" w:cs="宋体"/>
          <w:color w:val="auto"/>
          <w:sz w:val="24"/>
          <w:szCs w:val="24"/>
        </w:rPr>
        <w:t>处罚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投标方应向我院支付违约</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款额</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%违约金并赔偿我院经济损失。</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.2投标方提供的系统如侵犯了第三方合法权益而引发的任何纠纷或诉讼，均由投标方负责交涉并承担全部责任。</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w:t>
      </w:r>
      <w:r>
        <w:rPr>
          <w:rFonts w:hint="eastAsia" w:ascii="宋体" w:hAnsi="宋体" w:eastAsia="宋体" w:cs="宋体"/>
          <w:color w:val="auto"/>
          <w:sz w:val="24"/>
          <w:lang w:val="en-US"/>
        </w:rPr>
        <w:t>售后服务违约</w:t>
      </w:r>
      <w:r>
        <w:rPr>
          <w:rFonts w:hint="eastAsia" w:ascii="宋体" w:hAnsi="宋体" w:eastAsia="宋体" w:cs="宋体"/>
          <w:color w:val="auto"/>
          <w:sz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ascii="宋体" w:hAnsi="宋体" w:eastAsia="宋体" w:cs="宋体"/>
          <w:color w:val="auto"/>
          <w:sz w:val="24"/>
          <w:lang w:val="en-US"/>
        </w:rPr>
      </w:pPr>
      <w:r>
        <w:rPr>
          <w:rFonts w:hint="eastAsia" w:ascii="宋体" w:hAnsi="宋体" w:eastAsia="宋体" w:cs="宋体"/>
          <w:color w:val="auto"/>
          <w:sz w:val="24"/>
          <w:lang w:val="en-US" w:eastAsia="zh-CN"/>
        </w:rPr>
        <w:t>5</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val="en-US"/>
        </w:rPr>
        <w:t>.1每缺少1次现场巡检记录，投标方应向</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支付违约金</w:t>
      </w:r>
      <w:r>
        <w:rPr>
          <w:rFonts w:hint="eastAsia" w:ascii="宋体" w:hAnsi="宋体" w:eastAsia="宋体" w:cs="宋体"/>
          <w:color w:val="auto"/>
          <w:sz w:val="24"/>
          <w:lang w:val="en-US" w:eastAsia="zh-CN"/>
        </w:rPr>
        <w:t>2</w:t>
      </w:r>
      <w:r>
        <w:rPr>
          <w:rFonts w:hint="eastAsia" w:ascii="宋体" w:hAnsi="宋体" w:eastAsia="宋体" w:cs="宋体"/>
          <w:color w:val="auto"/>
          <w:sz w:val="24"/>
          <w:lang w:val="en-US"/>
        </w:rPr>
        <w:t>000元；</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ascii="宋体" w:hAnsi="宋体" w:eastAsia="宋体" w:cs="宋体"/>
          <w:color w:val="auto"/>
          <w:sz w:val="24"/>
          <w:lang w:val="en-US"/>
        </w:rPr>
      </w:pPr>
      <w:r>
        <w:rPr>
          <w:rFonts w:hint="eastAsia" w:ascii="宋体" w:hAnsi="宋体" w:eastAsia="宋体" w:cs="宋体"/>
          <w:color w:val="auto"/>
          <w:sz w:val="24"/>
          <w:lang w:val="en-US" w:eastAsia="zh-CN"/>
        </w:rPr>
        <w:t>5</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val="en-US"/>
        </w:rPr>
        <w:t> 投标方未按本技术要求和响应文件中规定的其他服务承诺提供售后服务的，每次投标方应按合同合计金额的</w:t>
      </w:r>
      <w:r>
        <w:rPr>
          <w:rFonts w:hint="eastAsia" w:ascii="宋体" w:hAnsi="宋体" w:eastAsia="宋体" w:cs="宋体"/>
          <w:color w:val="auto"/>
          <w:sz w:val="24"/>
          <w:lang w:val="en-US" w:eastAsia="zh-CN"/>
        </w:rPr>
        <w:t>20</w:t>
      </w:r>
      <w:r>
        <w:rPr>
          <w:rFonts w:hint="eastAsia" w:ascii="宋体" w:hAnsi="宋体" w:eastAsia="宋体" w:cs="宋体"/>
          <w:color w:val="auto"/>
          <w:sz w:val="24"/>
          <w:lang w:val="en-US"/>
        </w:rPr>
        <w:t>% 向</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支付违约金。</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合同签订后7个工作日内进场</w:t>
      </w:r>
      <w:r>
        <w:rPr>
          <w:rFonts w:hint="eastAsia" w:ascii="宋体" w:hAnsi="宋体" w:eastAsia="宋体" w:cs="宋体"/>
          <w:color w:val="auto"/>
          <w:sz w:val="24"/>
          <w:lang w:val="en-US" w:eastAsia="zh-CN"/>
        </w:rPr>
        <w:t>提供软件升级服务</w:t>
      </w:r>
      <w:r>
        <w:rPr>
          <w:rFonts w:hint="eastAsia" w:ascii="宋体" w:hAnsi="宋体" w:eastAsia="宋体" w:cs="宋体"/>
          <w:color w:val="auto"/>
          <w:sz w:val="24"/>
        </w:rPr>
        <w:t>。</w:t>
      </w:r>
      <w:r>
        <w:rPr>
          <w:rFonts w:hint="eastAsia" w:ascii="宋体" w:hAnsi="宋体" w:eastAsia="宋体" w:cs="宋体"/>
          <w:color w:val="auto"/>
          <w:sz w:val="24"/>
          <w:lang w:val="en-US" w:eastAsia="zh-CN"/>
        </w:rPr>
        <w:t>逾期提供升级服务按</w:t>
      </w:r>
      <w:r>
        <w:rPr>
          <w:rFonts w:hint="eastAsia" w:ascii="宋体" w:hAnsi="宋体" w:eastAsia="宋体" w:cs="宋体"/>
          <w:color w:val="auto"/>
          <w:sz w:val="24"/>
          <w:lang w:val="en-US"/>
        </w:rPr>
        <w:t>合同总金额的20%做为违约金</w:t>
      </w:r>
      <w:r>
        <w:rPr>
          <w:rFonts w:hint="eastAsia" w:ascii="宋体" w:hAnsi="宋体" w:eastAsia="宋体" w:cs="宋体"/>
          <w:color w:val="auto"/>
          <w:sz w:val="24"/>
          <w:lang w:val="en-US" w:eastAsia="zh-CN"/>
        </w:rPr>
        <w:t>支付给甲方</w:t>
      </w:r>
      <w:r>
        <w:rPr>
          <w:rFonts w:hint="eastAsia" w:ascii="宋体" w:hAnsi="宋体" w:eastAsia="宋体" w:cs="宋体"/>
          <w:color w:val="auto"/>
          <w:sz w:val="24"/>
          <w:lang w:val="en-US"/>
        </w:rPr>
        <w:t>。</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ascii="宋体" w:hAnsi="宋体" w:eastAsia="宋体" w:cs="宋体"/>
          <w:color w:val="auto"/>
          <w:sz w:val="24"/>
          <w:lang w:val="en-US"/>
        </w:rPr>
      </w:pPr>
      <w:r>
        <w:rPr>
          <w:rFonts w:hint="eastAsia" w:ascii="宋体" w:hAnsi="宋体" w:eastAsia="宋体" w:cs="宋体"/>
          <w:color w:val="auto"/>
          <w:sz w:val="24"/>
          <w:lang w:val="en-US" w:eastAsia="zh-CN"/>
        </w:rPr>
        <w:t>5</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val="en-US"/>
        </w:rPr>
        <w:t>任何一方违反本技术要求中“保密、廉洁条款”要求的，应承担相应的违约责任并赔偿由此造成的损失，损失累计金额超过合同款项的</w:t>
      </w:r>
      <w:r>
        <w:rPr>
          <w:rFonts w:hint="eastAsia" w:ascii="宋体" w:hAnsi="宋体" w:eastAsia="宋体" w:cs="宋体"/>
          <w:color w:val="auto"/>
          <w:sz w:val="24"/>
          <w:lang w:val="en-US" w:eastAsia="zh-CN"/>
        </w:rPr>
        <w:t>20</w:t>
      </w:r>
      <w:r>
        <w:rPr>
          <w:rFonts w:hint="eastAsia" w:ascii="宋体" w:hAnsi="宋体" w:eastAsia="宋体" w:cs="宋体"/>
          <w:color w:val="auto"/>
          <w:sz w:val="24"/>
          <w:lang w:val="en-US"/>
        </w:rPr>
        <w:t>%的，损失方同时有权终止合同并收回已付款项。</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5</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5厂商</w:t>
      </w:r>
      <w:r>
        <w:rPr>
          <w:rFonts w:hint="eastAsia" w:ascii="宋体" w:hAnsi="宋体" w:eastAsia="宋体" w:cs="宋体"/>
          <w:color w:val="auto"/>
          <w:sz w:val="24"/>
          <w:lang w:val="en-US"/>
        </w:rPr>
        <w:t>方未按本技术要求和响应文件中规定的其他服务承诺提供售后服务的，按损失情况，每次应按合同合计金额的</w:t>
      </w:r>
      <w:r>
        <w:rPr>
          <w:rFonts w:hint="eastAsia" w:ascii="宋体" w:hAnsi="宋体" w:eastAsia="宋体" w:cs="宋体"/>
          <w:color w:val="auto"/>
          <w:sz w:val="24"/>
          <w:lang w:val="en-US" w:eastAsia="zh-CN"/>
        </w:rPr>
        <w:t>10%由乙方</w:t>
      </w:r>
      <w:r>
        <w:rPr>
          <w:rFonts w:hint="eastAsia" w:ascii="宋体" w:hAnsi="宋体" w:eastAsia="宋体" w:cs="宋体"/>
          <w:color w:val="auto"/>
          <w:sz w:val="24"/>
          <w:lang w:val="en-US"/>
        </w:rPr>
        <w:t>向甲方支付违约金，损失累计金额超过合同款项的</w:t>
      </w:r>
      <w:r>
        <w:rPr>
          <w:rFonts w:hint="eastAsia" w:ascii="宋体" w:hAnsi="宋体" w:eastAsia="宋体" w:cs="宋体"/>
          <w:color w:val="auto"/>
          <w:sz w:val="24"/>
          <w:lang w:val="en-US" w:eastAsia="zh-CN"/>
        </w:rPr>
        <w:t>30</w:t>
      </w:r>
      <w:r>
        <w:rPr>
          <w:rFonts w:hint="eastAsia" w:ascii="宋体" w:hAnsi="宋体" w:eastAsia="宋体" w:cs="宋体"/>
          <w:color w:val="auto"/>
          <w:sz w:val="24"/>
          <w:lang w:val="en-US"/>
        </w:rPr>
        <w:t>%的，损失方同时有权终止合同并收回已付款项。</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5.6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562" w:firstLineChars="200"/>
        <w:textAlignment w:val="auto"/>
        <w:rPr>
          <w:rFonts w:ascii="宋体" w:hAnsi="宋体" w:eastAsia="宋体" w:cs="宋体"/>
          <w:b/>
          <w:bCs/>
          <w:color w:val="auto"/>
          <w:sz w:val="28"/>
          <w:lang w:val="en-US"/>
        </w:rPr>
      </w:pPr>
      <w:r>
        <w:rPr>
          <w:rFonts w:hint="eastAsia" w:ascii="宋体" w:hAnsi="宋体" w:eastAsia="宋体" w:cs="宋体"/>
          <w:b/>
          <w:bCs/>
          <w:color w:val="auto"/>
          <w:sz w:val="28"/>
          <w:lang w:val="en-US" w:eastAsia="zh-CN"/>
        </w:rPr>
        <w:t>六</w:t>
      </w:r>
      <w:r>
        <w:rPr>
          <w:rFonts w:hint="eastAsia" w:ascii="宋体" w:hAnsi="宋体" w:eastAsia="宋体" w:cs="宋体"/>
          <w:b/>
          <w:bCs/>
          <w:color w:val="auto"/>
          <w:sz w:val="28"/>
          <w:lang w:val="en-US"/>
        </w:rPr>
        <w:t>、保密、廉洁协议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 双方不得以任何方式向第三方泄露本项目的软件技术、设计方案以及功能配置等内容。</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不以任何方式向第三方泄露在本协议开发实施过程中获取的经济、技术、数据以及双方其他非公开的信息。</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.5保密期限自本合同生效之日起永久有效，如乙方需解除保密协议需向甲方提出书面申请，双方协商同意签字确认后方可解除。</w:t>
      </w: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ascii="宋体" w:hAnsi="宋体" w:eastAsia="宋体" w:cs="宋体"/>
          <w:b/>
          <w:bCs/>
          <w:color w:val="auto"/>
          <w:sz w:val="28"/>
          <w:lang w:val="en-US"/>
        </w:rPr>
      </w:pPr>
      <w:r>
        <w:rPr>
          <w:rFonts w:hint="eastAsia" w:ascii="宋体" w:hAnsi="宋体" w:eastAsia="宋体" w:cs="宋体"/>
          <w:b/>
          <w:bCs/>
          <w:color w:val="auto"/>
          <w:sz w:val="28"/>
          <w:lang w:val="en-US" w:eastAsia="zh-CN"/>
        </w:rPr>
        <w:t>七</w:t>
      </w:r>
      <w:r>
        <w:rPr>
          <w:rFonts w:hint="eastAsia" w:ascii="宋体" w:hAnsi="宋体" w:eastAsia="宋体" w:cs="宋体"/>
          <w:b/>
          <w:bCs/>
          <w:color w:val="auto"/>
          <w:sz w:val="28"/>
          <w:lang w:val="en-US"/>
        </w:rPr>
        <w:t>、报价</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竞标文件按系统模块报价，报价表价格包含系统软件费用、调试实施、培训费用、产品升级费用，以及明示所有责任、义务和一切风险。</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竞标文件需提供维保期后续保报价。</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竞标文件需提供系统详细图文介绍。系统实施验收参照本技术文档及竞标文件提供的图文介绍为依据。</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如项目功能二次开发内容涉及我院采购的第三方产品，则我院协调第三方产品开发商提供相关二次开发需要的接口和其他信息。请在标书内标明哪些功能的实现需要我院提供二次开发接口。</w:t>
      </w: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color w:val="auto"/>
          <w:sz w:val="28"/>
          <w:lang w:val="en-US" w:eastAsia="zh-CN"/>
        </w:rPr>
      </w:pPr>
      <w:r>
        <w:rPr>
          <w:rFonts w:hint="eastAsia" w:ascii="宋体" w:hAnsi="宋体" w:eastAsia="宋体" w:cs="宋体"/>
          <w:b/>
          <w:bCs/>
          <w:color w:val="auto"/>
          <w:sz w:val="28"/>
          <w:lang w:val="en-US" w:eastAsia="zh-CN"/>
        </w:rPr>
        <w:t>八、付款方式</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default" w:ascii="宋体" w:hAnsi="宋体" w:cs="宋体" w:eastAsiaTheme="minorEastAsia"/>
          <w:b w:val="0"/>
          <w:bCs w:val="0"/>
          <w:color w:val="auto"/>
          <w:sz w:val="24"/>
          <w:szCs w:val="24"/>
          <w:lang w:val="en-US" w:eastAsia="zh-CN"/>
        </w:rPr>
      </w:pPr>
      <w:r>
        <w:rPr>
          <w:rFonts w:hint="eastAsia" w:ascii="宋体" w:hAnsi="宋体" w:eastAsia="宋体" w:cs="宋体"/>
          <w:b w:val="0"/>
          <w:bCs w:val="0"/>
          <w:color w:val="auto"/>
          <w:sz w:val="24"/>
          <w:szCs w:val="24"/>
          <w:lang w:val="en-US" w:eastAsia="zh-CN"/>
        </w:rPr>
        <w:t>签订升级服务合同后7个工作日后，甲方支付合同金额的30%，通过项目验收后，乙方开具升级服务费全额增值税发票给甲方，甲方收到发票后支付给合同金额60%的费用，验收满一年后，甲方支付合同剩余10%金额</w:t>
      </w:r>
      <w:r>
        <w:rPr>
          <w:rFonts w:hint="eastAsia"/>
          <w:color w:val="auto"/>
          <w:sz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NWFlYzQyMTUxNTAyYzAxZjI2ZDQ5MDJiNTAyOWMifQ=="/>
  </w:docVars>
  <w:rsids>
    <w:rsidRoot w:val="00172A27"/>
    <w:rsid w:val="054B7E30"/>
    <w:rsid w:val="06717A67"/>
    <w:rsid w:val="06F864C7"/>
    <w:rsid w:val="0E237CFC"/>
    <w:rsid w:val="0FCA59C9"/>
    <w:rsid w:val="104B5C69"/>
    <w:rsid w:val="113B26D2"/>
    <w:rsid w:val="11C91ABC"/>
    <w:rsid w:val="12B17F75"/>
    <w:rsid w:val="145A131A"/>
    <w:rsid w:val="15343B61"/>
    <w:rsid w:val="1661448B"/>
    <w:rsid w:val="17090BE0"/>
    <w:rsid w:val="1A5200E7"/>
    <w:rsid w:val="20FB5843"/>
    <w:rsid w:val="23E832D9"/>
    <w:rsid w:val="25102239"/>
    <w:rsid w:val="28096C9A"/>
    <w:rsid w:val="2A952A67"/>
    <w:rsid w:val="2EFE71ED"/>
    <w:rsid w:val="31EF6F01"/>
    <w:rsid w:val="322D6A59"/>
    <w:rsid w:val="338D69D1"/>
    <w:rsid w:val="36C8664D"/>
    <w:rsid w:val="37842178"/>
    <w:rsid w:val="378D4B83"/>
    <w:rsid w:val="37A37F8A"/>
    <w:rsid w:val="3A521D44"/>
    <w:rsid w:val="3DFE0C03"/>
    <w:rsid w:val="401924EB"/>
    <w:rsid w:val="41A934B7"/>
    <w:rsid w:val="41EE6C06"/>
    <w:rsid w:val="43EE5F9E"/>
    <w:rsid w:val="452706E9"/>
    <w:rsid w:val="470A12FA"/>
    <w:rsid w:val="474C719D"/>
    <w:rsid w:val="48A52FA8"/>
    <w:rsid w:val="4C2274E2"/>
    <w:rsid w:val="4C515550"/>
    <w:rsid w:val="502F7CB1"/>
    <w:rsid w:val="53DC5F05"/>
    <w:rsid w:val="55BA5924"/>
    <w:rsid w:val="589400CC"/>
    <w:rsid w:val="58EB29A3"/>
    <w:rsid w:val="59824554"/>
    <w:rsid w:val="5EAA5DDA"/>
    <w:rsid w:val="60604D33"/>
    <w:rsid w:val="61666D74"/>
    <w:rsid w:val="63682AC5"/>
    <w:rsid w:val="63B12F84"/>
    <w:rsid w:val="64EF0423"/>
    <w:rsid w:val="661B1C8D"/>
    <w:rsid w:val="672F2275"/>
    <w:rsid w:val="694F5F32"/>
    <w:rsid w:val="6A4F6A48"/>
    <w:rsid w:val="6AA44925"/>
    <w:rsid w:val="6EC31FDB"/>
    <w:rsid w:val="71940950"/>
    <w:rsid w:val="749607DA"/>
    <w:rsid w:val="79134850"/>
    <w:rsid w:val="79DF116F"/>
    <w:rsid w:val="7C562E94"/>
    <w:rsid w:val="7C9D2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0"/>
      <w:szCs w:val="24"/>
      <w:lang w:val="zh-CN"/>
    </w:rPr>
  </w:style>
  <w:style w:type="paragraph" w:customStyle="1" w:styleId="5">
    <w:name w:val="p15"/>
    <w:basedOn w:val="1"/>
    <w:qFormat/>
    <w:uiPriority w:val="0"/>
    <w:pPr>
      <w:widowControl/>
      <w:ind w:firstLine="420"/>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4488</Words>
  <Characters>4639</Characters>
  <Lines>0</Lines>
  <Paragraphs>0</Paragraphs>
  <TotalTime>7</TotalTime>
  <ScaleCrop>false</ScaleCrop>
  <LinksUpToDate>false</LinksUpToDate>
  <CharactersWithSpaces>4645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2022-06-15T02:44:00Z</dcterms:created>
  <dc:creator>24k  mature man</dc:creator>
  <cp:lastModifiedBy>dan</cp:lastModifiedBy>
  <cp:lastPrinted>2022-10-28T00:40:08Z</cp:lastPrinted>
  <dcterms:modified xsi:type="dcterms:W3CDTF">2022-10-28T01:12:44Z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F85FE5DA0EF24B4C933BC2D416F540F0</vt:lpwstr>
  </property>
</Properties>
</file>