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柳州市工人医院总院、西院室外消防通道标识划线</w:t>
      </w:r>
    </w:p>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柳州市工人医院总院、西院室外消防通道标识划线项目。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w:t>
      </w:r>
      <w:r>
        <w:rPr>
          <w:rFonts w:hint="eastAsia" w:ascii="宋体" w:hAnsi="宋体" w:eastAsia="宋体" w:cs="宋体"/>
          <w:b w:val="0"/>
          <w:bCs w:val="0"/>
          <w:sz w:val="28"/>
          <w:szCs w:val="28"/>
          <w:lang w:val="en-US" w:eastAsia="zh-CN"/>
        </w:rPr>
        <w:t>总院、西院室外消防通道标识划线</w:t>
      </w:r>
      <w:r>
        <w:rPr>
          <w:rFonts w:hint="eastAsia" w:hAnsi="宋体" w:eastAsia="宋体" w:cs="宋体"/>
          <w:b w:val="0"/>
          <w:bCs w:val="0"/>
          <w:sz w:val="28"/>
          <w:szCs w:val="28"/>
          <w:lang w:val="en-US" w:eastAsia="zh-CN"/>
        </w:rPr>
        <w:t>，在院区内消防通道设置相应的禁停标线、出入口网格禁停标线等地面标识，消防登高救援场地划线标识</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投标人需为国内注册（指按国家有关规定要求注册的），具备法人资格；</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 xml:space="preserve">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项目为柳州市工人医院</w:t>
      </w:r>
      <w:r>
        <w:rPr>
          <w:rFonts w:hint="eastAsia" w:ascii="宋体" w:hAnsi="宋体" w:eastAsia="宋体" w:cs="宋体"/>
          <w:b w:val="0"/>
          <w:bCs w:val="0"/>
          <w:sz w:val="28"/>
          <w:szCs w:val="28"/>
          <w:lang w:val="en-US" w:eastAsia="zh-CN"/>
        </w:rPr>
        <w:t>总院、西院室外消防通道标识划线，包含院区内地面消防通道禁停标线、出入口网格禁停标线、消防登高救援场地划标线等内容的热熔反光标线涂料划线。</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道路标线设计及施工应满足相关消防通道标识设置规范要求（《消防救援局关于进一步明确消防车通道管理若干措施的通知》》(应急消[2019]334号)、《中华人民共和</w:t>
      </w:r>
      <w:bookmarkStart w:id="0" w:name="_GoBack"/>
      <w:bookmarkEnd w:id="0"/>
      <w:r>
        <w:rPr>
          <w:rFonts w:hint="eastAsia" w:ascii="宋体" w:hAnsi="宋体" w:eastAsia="宋体" w:cs="宋体"/>
          <w:b w:val="0"/>
          <w:bCs w:val="0"/>
          <w:sz w:val="28"/>
          <w:szCs w:val="28"/>
          <w:lang w:val="en-US" w:eastAsia="zh-CN"/>
        </w:rPr>
        <w:t>国消防法》、《中华人民共和国道路交通安全法》和《道路交通标志和标线》(GB5768)）。</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道路标线涂、漆料按要求采用热熔反光涂料，满足GB/5768-2009、JT/T279-1995标准，所有路面标线的设置、颜色、形状符合图纸和《道路交通标志和标线》（GB5768-2009）标准的规定，具体方案见标线平面图。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eastAsia="宋体" w:cs="宋体"/>
          <w:b/>
          <w:bCs/>
          <w:sz w:val="28"/>
          <w:szCs w:val="28"/>
          <w:lang w:val="en-US" w:eastAsia="zh-CN"/>
        </w:rPr>
      </w:pPr>
      <w:r>
        <w:rPr>
          <w:rFonts w:hint="eastAsia" w:hAnsi="宋体" w:eastAsia="宋体" w:cs="宋体"/>
          <w:b/>
          <w:bCs/>
          <w:sz w:val="28"/>
          <w:szCs w:val="28"/>
          <w:lang w:val="en-US" w:eastAsia="zh-CN"/>
        </w:rPr>
        <w:t>热熔反光涂料道路标线清单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857"/>
        <w:gridCol w:w="1857"/>
        <w:gridCol w:w="1858"/>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07" w:hRule="atLeast"/>
          <w:jc w:val="center"/>
        </w:trPr>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序号</w:t>
            </w:r>
          </w:p>
        </w:tc>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院区</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标线数量</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4"/>
                <w:szCs w:val="24"/>
                <w:u w:val="none"/>
                <w:lang w:val="en-US" w:eastAsia="zh-CN" w:bidi="ar"/>
              </w:rPr>
              <w:t>1</w:t>
            </w:r>
          </w:p>
        </w:tc>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2"/>
                <w:szCs w:val="22"/>
                <w:u w:val="none"/>
                <w:lang w:val="en-US" w:eastAsia="zh-CN" w:bidi="ar"/>
              </w:rPr>
              <w:t>西院区</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2"/>
                <w:szCs w:val="22"/>
                <w:u w:val="none"/>
                <w:lang w:val="en-US" w:eastAsia="zh-CN" w:bidi="ar"/>
              </w:rPr>
              <w:t>550</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2"/>
                <w:szCs w:val="22"/>
                <w:u w:val="none"/>
                <w:lang w:val="en-US" w:eastAsia="zh-CN" w:bidi="ar"/>
              </w:rPr>
              <w:t>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1857"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4"/>
                <w:szCs w:val="24"/>
                <w:u w:val="none"/>
                <w:lang w:val="en-US" w:eastAsia="zh-CN" w:bidi="ar"/>
              </w:rPr>
              <w:t>总院区</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4"/>
                <w:szCs w:val="24"/>
                <w:u w:val="none"/>
                <w:lang w:val="en-US" w:eastAsia="zh-CN" w:bidi="ar"/>
              </w:rPr>
              <w:t>1300</w:t>
            </w:r>
          </w:p>
        </w:tc>
        <w:tc>
          <w:tcPr>
            <w:tcW w:w="1858" w:type="dxa"/>
            <w:vAlign w:val="center"/>
          </w:tcPr>
          <w:p>
            <w:pPr>
              <w:keepNext w:val="0"/>
              <w:keepLines w:val="0"/>
              <w:widowControl/>
              <w:suppressLineNumbers w:val="0"/>
              <w:jc w:val="center"/>
              <w:textAlignment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i w:val="0"/>
                <w:iCs w:val="0"/>
                <w:color w:val="000000"/>
                <w:kern w:val="0"/>
                <w:sz w:val="22"/>
                <w:szCs w:val="22"/>
                <w:u w:val="none"/>
                <w:lang w:val="en-US" w:eastAsia="zh-CN" w:bidi="ar"/>
              </w:rPr>
              <w:t>m²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85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185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鱼峰山院区</w:t>
            </w:r>
          </w:p>
        </w:tc>
        <w:tc>
          <w:tcPr>
            <w:tcW w:w="1858"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150</w:t>
            </w:r>
          </w:p>
        </w:tc>
        <w:tc>
          <w:tcPr>
            <w:tcW w:w="1858"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m²</w:t>
            </w:r>
          </w:p>
        </w:tc>
      </w:tr>
    </w:tbl>
    <w:p>
      <w:pPr>
        <w:spacing w:line="480" w:lineRule="auto"/>
        <w:ind w:right="480"/>
        <w:jc w:val="center"/>
        <w:rPr>
          <w:rFonts w:hint="eastAsia" w:hAnsi="宋体" w:eastAsia="宋体" w:cs="宋体"/>
          <w:b/>
          <w:bCs/>
          <w:sz w:val="28"/>
          <w:szCs w:val="28"/>
          <w:lang w:val="en-US" w:eastAsia="zh-CN"/>
        </w:rPr>
      </w:pPr>
      <w:r>
        <w:rPr>
          <w:rFonts w:hint="eastAsia" w:hAnsi="宋体" w:eastAsia="宋体" w:cs="宋体"/>
          <w:b/>
          <w:bCs/>
          <w:sz w:val="28"/>
          <w:szCs w:val="28"/>
          <w:lang w:val="en-US" w:eastAsia="zh-CN"/>
        </w:rPr>
        <w:t xml:space="preserve">   </w:t>
      </w:r>
    </w:p>
    <w:p>
      <w:pPr>
        <w:spacing w:line="480" w:lineRule="auto"/>
        <w:ind w:right="480"/>
        <w:jc w:val="center"/>
        <w:rPr>
          <w:rFonts w:hint="eastAsia"/>
          <w:sz w:val="24"/>
          <w:szCs w:val="24"/>
        </w:rPr>
      </w:pPr>
      <w:r>
        <w:rPr>
          <w:rFonts w:hint="eastAsia" w:hAnsi="宋体" w:eastAsia="宋体" w:cs="宋体"/>
          <w:b/>
          <w:bCs/>
          <w:sz w:val="28"/>
          <w:szCs w:val="28"/>
          <w:lang w:val="en-US" w:eastAsia="zh-CN"/>
        </w:rPr>
        <w:t xml:space="preserve"> 路面标线检查项目</w:t>
      </w:r>
    </w:p>
    <w:tbl>
      <w:tblPr>
        <w:tblStyle w:val="4"/>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414"/>
        <w:gridCol w:w="2190"/>
        <w:gridCol w:w="2338"/>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项次</w:t>
            </w:r>
          </w:p>
        </w:tc>
        <w:tc>
          <w:tcPr>
            <w:tcW w:w="3604" w:type="dxa"/>
            <w:gridSpan w:val="2"/>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检查项目</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规定值或允许偏差</w:t>
            </w:r>
          </w:p>
        </w:tc>
        <w:tc>
          <w:tcPr>
            <w:tcW w:w="1752"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414"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厚度</w:t>
            </w:r>
          </w:p>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（mm）</w:t>
            </w: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溶剂型常温涂料</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0.3~0.4</w:t>
            </w:r>
          </w:p>
        </w:tc>
        <w:tc>
          <w:tcPr>
            <w:tcW w:w="1752"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按材料用量计算或抽检10%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溶剂型加热涂料</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0.3~0.5</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热熔型涂料</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图纸规定值±0.5</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414"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标线宽度</w:t>
            </w:r>
          </w:p>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（mm）</w:t>
            </w: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400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0~15</w:t>
            </w:r>
          </w:p>
        </w:tc>
        <w:tc>
          <w:tcPr>
            <w:tcW w:w="1752"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直尺，抽检10%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150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0~8</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100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0~5</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1414"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标线长度</w:t>
            </w:r>
          </w:p>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(mm)</w:t>
            </w: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6000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0~30</w:t>
            </w:r>
          </w:p>
        </w:tc>
        <w:tc>
          <w:tcPr>
            <w:tcW w:w="1752"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直尺，抽检10%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4000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0~20</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3000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0~15</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2000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0~10</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1414"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纵向间距</w:t>
            </w:r>
          </w:p>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（mm）</w:t>
            </w: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900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±45</w:t>
            </w:r>
          </w:p>
        </w:tc>
        <w:tc>
          <w:tcPr>
            <w:tcW w:w="1752" w:type="dxa"/>
            <w:vMerge w:val="restart"/>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直尺，抽检10%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6000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4000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±20</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vMerge w:val="continue"/>
            <w:noWrap w:val="0"/>
            <w:vAlign w:val="center"/>
          </w:tcPr>
          <w:p>
            <w:pPr>
              <w:spacing w:line="480" w:lineRule="auto"/>
              <w:jc w:val="center"/>
              <w:rPr>
                <w:rFonts w:hint="eastAsia" w:ascii="宋体" w:hAnsi="宋体" w:eastAsia="宋体" w:cs="宋体"/>
                <w:sz w:val="21"/>
                <w:szCs w:val="21"/>
              </w:rPr>
            </w:pPr>
          </w:p>
        </w:tc>
        <w:tc>
          <w:tcPr>
            <w:tcW w:w="1414" w:type="dxa"/>
            <w:vMerge w:val="continue"/>
            <w:noWrap w:val="0"/>
            <w:vAlign w:val="center"/>
          </w:tcPr>
          <w:p>
            <w:pPr>
              <w:spacing w:line="480" w:lineRule="auto"/>
              <w:jc w:val="center"/>
              <w:rPr>
                <w:rFonts w:hint="eastAsia" w:ascii="宋体" w:hAnsi="宋体" w:eastAsia="宋体" w:cs="宋体"/>
                <w:sz w:val="21"/>
                <w:szCs w:val="21"/>
              </w:rPr>
            </w:pPr>
          </w:p>
        </w:tc>
        <w:tc>
          <w:tcPr>
            <w:tcW w:w="219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3000</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±15</w:t>
            </w:r>
          </w:p>
        </w:tc>
        <w:tc>
          <w:tcPr>
            <w:tcW w:w="1752" w:type="dxa"/>
            <w:vMerge w:val="continue"/>
            <w:noWrap w:val="0"/>
            <w:vAlign w:val="center"/>
          </w:tcPr>
          <w:p>
            <w:pPr>
              <w:spacing w:line="48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0"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3604" w:type="dxa"/>
            <w:gridSpan w:val="2"/>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横向偏位（mm）</w:t>
            </w:r>
          </w:p>
        </w:tc>
        <w:tc>
          <w:tcPr>
            <w:tcW w:w="2338" w:type="dxa"/>
            <w:noWrap w:val="0"/>
            <w:vAlign w:val="center"/>
          </w:tcPr>
          <w:p>
            <w:pPr>
              <w:spacing w:line="48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1752" w:type="dxa"/>
            <w:noWrap w:val="0"/>
            <w:vAlign w:val="center"/>
          </w:tcPr>
          <w:p>
            <w:pPr>
              <w:spacing w:line="480" w:lineRule="auto"/>
              <w:ind w:left="-105" w:leftChars="-50" w:right="-105" w:rightChars="-50"/>
              <w:jc w:val="center"/>
              <w:rPr>
                <w:rFonts w:hint="eastAsia" w:ascii="宋体" w:hAnsi="宋体" w:eastAsia="宋体" w:cs="宋体"/>
                <w:spacing w:val="-4"/>
                <w:sz w:val="21"/>
                <w:szCs w:val="21"/>
              </w:rPr>
            </w:pPr>
            <w:r>
              <w:rPr>
                <w:rFonts w:hint="eastAsia" w:ascii="宋体" w:hAnsi="宋体" w:eastAsia="宋体" w:cs="宋体"/>
                <w:spacing w:val="-4"/>
                <w:sz w:val="21"/>
                <w:szCs w:val="21"/>
              </w:rPr>
              <w:t>直尺，抽检10%</w:t>
            </w:r>
          </w:p>
        </w:tc>
      </w:tr>
    </w:tbl>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1.应标方负责项目所有内容的材料采购及现场施工。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4.现场道路标线方案必须由院方确认同意后才能划线。</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5.工程现场施工必须符合消防安全规范要求。</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1.签订合同后，15天内完成所有内容施工；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2.报价为总价包干报价形式。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2022年8月30日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7EC0570"/>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D1B00DF"/>
    <w:rsid w:val="4FF57096"/>
    <w:rsid w:val="50E85F0B"/>
    <w:rsid w:val="52F3051F"/>
    <w:rsid w:val="53C91D89"/>
    <w:rsid w:val="55617B80"/>
    <w:rsid w:val="561D501A"/>
    <w:rsid w:val="56515FE9"/>
    <w:rsid w:val="58983EE1"/>
    <w:rsid w:val="5A447D2A"/>
    <w:rsid w:val="5CB3223D"/>
    <w:rsid w:val="5CE72158"/>
    <w:rsid w:val="5E40418F"/>
    <w:rsid w:val="5F442227"/>
    <w:rsid w:val="5F491309"/>
    <w:rsid w:val="5F913150"/>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20567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951</Words>
  <Characters>1110</Characters>
  <Lines>0</Lines>
  <Paragraphs>0</Paragraphs>
  <TotalTime>2</TotalTime>
  <ScaleCrop>false</ScaleCrop>
  <LinksUpToDate>false</LinksUpToDate>
  <CharactersWithSpaces>1249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2022-08-30T02:54:38Z</cp:lastPrinted>
  <dcterms:modified xsi:type="dcterms:W3CDTF">2022-08-30T02:55:56Z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676BB8C8E330493DB527A03640A94E19</vt:lpwstr>
  </property>
</Properties>
</file>