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柳州市工人医院总院职工之家电脑设备</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柳州市工人医院总院职工之家电脑设备</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w:t>
      </w:r>
      <w:r>
        <w:rPr>
          <w:rFonts w:hint="eastAsia" w:ascii="宋体" w:hAnsi="宋体" w:eastAsia="宋体" w:cs="宋体"/>
          <w:b w:val="0"/>
          <w:bCs w:val="0"/>
          <w:sz w:val="28"/>
          <w:szCs w:val="28"/>
          <w:lang w:val="en-US" w:eastAsia="zh-CN"/>
        </w:rPr>
        <w:t>总院</w:t>
      </w:r>
      <w:r>
        <w:rPr>
          <w:rFonts w:hint="eastAsia" w:hAnsi="宋体" w:eastAsia="宋体" w:cs="宋体"/>
          <w:b w:val="0"/>
          <w:bCs w:val="0"/>
          <w:sz w:val="28"/>
          <w:szCs w:val="28"/>
          <w:lang w:val="en-US" w:eastAsia="zh-CN"/>
        </w:rPr>
        <w:t>工会</w:t>
      </w:r>
      <w:r>
        <w:rPr>
          <w:rFonts w:hint="eastAsia" w:ascii="宋体" w:hAnsi="宋体" w:eastAsia="宋体" w:cs="宋体"/>
          <w:b w:val="0"/>
          <w:bCs w:val="0"/>
          <w:sz w:val="28"/>
          <w:szCs w:val="28"/>
          <w:lang w:val="en-US" w:eastAsia="zh-CN"/>
        </w:rPr>
        <w:t>职工之家电脑设备采购</w:t>
      </w:r>
      <w:r>
        <w:rPr>
          <w:rFonts w:hint="eastAsia"/>
          <w:sz w:val="28"/>
          <w:szCs w:val="36"/>
        </w:rPr>
        <w:t>。</w:t>
      </w:r>
      <w:r>
        <w:rPr>
          <w:rFonts w:hint="eastAsia"/>
          <w:sz w:val="28"/>
          <w:szCs w:val="36"/>
          <w:lang w:val="en-US" w:eastAsia="zh-CN"/>
        </w:rPr>
        <w:t>采购电脑、投影、音箱等设备用于总院门诊4楼工会职工之家使用</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具电脑设备销售等</w:t>
      </w:r>
      <w:r>
        <w:rPr>
          <w:rFonts w:hint="eastAsia" w:ascii="宋体" w:hAnsi="宋体" w:eastAsia="宋体" w:cs="宋体"/>
          <w:b w:val="0"/>
          <w:bCs w:val="0"/>
          <w:sz w:val="28"/>
          <w:szCs w:val="28"/>
          <w:lang w:val="en-US" w:eastAsia="zh-CN"/>
        </w:rPr>
        <w:t>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sz w:val="28"/>
          <w:szCs w:val="36"/>
          <w:lang w:val="en-US" w:eastAsia="zh-CN"/>
        </w:rPr>
        <w:t>工会职工之家</w:t>
      </w:r>
      <w:r>
        <w:rPr>
          <w:rFonts w:hint="eastAsia" w:hAnsi="宋体" w:eastAsia="宋体" w:cs="宋体"/>
          <w:b w:val="0"/>
          <w:bCs w:val="0"/>
          <w:sz w:val="28"/>
          <w:szCs w:val="28"/>
          <w:lang w:val="en-US" w:eastAsia="zh-CN"/>
        </w:rPr>
        <w:t>室内设置11台电脑、投影设备、蓝牙音箱等设备，项目包含清单内所有设备采购及安装调试。</w:t>
      </w:r>
    </w:p>
    <w:p>
      <w:pPr>
        <w:pStyle w:val="2"/>
        <w:ind w:firstLine="560"/>
        <w:rPr>
          <w:rFonts w:hint="eastAsia" w:hAnsi="宋体" w:cs="宋体"/>
          <w:b w:val="0"/>
          <w:bCs w:val="0"/>
          <w:sz w:val="28"/>
          <w:szCs w:val="28"/>
          <w:lang w:val="en-US" w:eastAsia="zh-CN"/>
        </w:rPr>
      </w:pPr>
      <w:r>
        <w:rPr>
          <w:rFonts w:hint="eastAsia" w:hAnsi="宋体" w:cs="宋体"/>
          <w:b w:val="0"/>
          <w:bCs w:val="0"/>
          <w:sz w:val="28"/>
          <w:szCs w:val="28"/>
          <w:lang w:val="en-US" w:eastAsia="zh-CN"/>
        </w:rPr>
        <w:t>设备清单：</w:t>
      </w:r>
    </w:p>
    <w:p>
      <w:pPr>
        <w:ind w:firstLine="56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主要设备清单</w:t>
      </w:r>
      <w:r>
        <w:rPr>
          <w:rFonts w:hint="eastAsia" w:hAnsi="宋体" w:eastAsia="宋体" w:cs="宋体"/>
          <w:b w:val="0"/>
          <w:bCs w:val="0"/>
          <w:sz w:val="28"/>
          <w:szCs w:val="28"/>
          <w:lang w:val="en-US" w:eastAsia="zh-CN"/>
        </w:rPr>
        <w:t>：</w:t>
      </w:r>
    </w:p>
    <w:tbl>
      <w:tblPr>
        <w:tblStyle w:val="7"/>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20"/>
        <w:gridCol w:w="1560"/>
        <w:gridCol w:w="4365"/>
        <w:gridCol w:w="9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620" w:type="dxa"/>
            <w:vMerge w:val="restart"/>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名称</w:t>
            </w:r>
          </w:p>
        </w:tc>
        <w:tc>
          <w:tcPr>
            <w:tcW w:w="1560" w:type="dxa"/>
            <w:vMerge w:val="restart"/>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参考品牌</w:t>
            </w:r>
          </w:p>
        </w:tc>
        <w:tc>
          <w:tcPr>
            <w:tcW w:w="4365" w:type="dxa"/>
            <w:vMerge w:val="restart"/>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lang w:val="en-US"/>
              </w:rPr>
            </w:pPr>
            <w:r>
              <w:rPr>
                <w:rFonts w:hint="eastAsia" w:ascii="等线" w:hAnsi="等线" w:eastAsia="等线" w:cs="等线"/>
                <w:b/>
                <w:bCs/>
                <w:i w:val="0"/>
                <w:iCs w:val="0"/>
                <w:color w:val="000000"/>
                <w:kern w:val="0"/>
                <w:sz w:val="22"/>
                <w:szCs w:val="22"/>
                <w:u w:val="none"/>
                <w:lang w:val="en-US" w:eastAsia="zh-CN" w:bidi="ar"/>
              </w:rPr>
              <w:t>参数要求</w:t>
            </w:r>
          </w:p>
        </w:tc>
        <w:tc>
          <w:tcPr>
            <w:tcW w:w="930" w:type="dxa"/>
            <w:vMerge w:val="restart"/>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620" w:type="dxa"/>
            <w:vMerge w:val="continue"/>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560" w:type="dxa"/>
            <w:vMerge w:val="continue"/>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4365" w:type="dxa"/>
            <w:vMerge w:val="continue"/>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930" w:type="dxa"/>
            <w:vMerge w:val="continue"/>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900" w:type="dxa"/>
            <w:vMerge w:val="continue"/>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9"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电脑主机（电子竞技比赛选手用）</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组装</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CPU:锐龙R5-5500;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主板:华硕PRIME B450M-A;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内存:十铨火神 DDR4-3000 8G*2;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显卡：七彩虹RTX3060 ULTRA W OC 12G；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硬盘：铠侠rc10 500G；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电源：酷冷至尊MWE G500；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机箱：先马黑洞 专业静音机箱；</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散热：利民as120</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2"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电脑主机（服务器）</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组装</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CPU:i7-12700F;</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主板:微星B660M;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内存:威刚 XPG DDR4-3200 8G*2;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显卡：电竞叛客RTX3070ti 8G；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硬盘：三星 PM9A1 512G；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电源：长城 GW-ATX750BL 额定750W金牌；</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机箱：先马黑洞 专业静音机箱；</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散热：利民as120</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显示器</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ACER\三星\AOC</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24.5英寸\'面板模型IPS \刷新率240HZ\分辨率1920*1080\响应速度1ms</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鼠标</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罗技/卓威/赛睿</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DPI:400/800/1600/3200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USB2.0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按键数：7个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底部可调按钮：回报率\DPI</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USB回报率：125\500\1000HZ</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耳机</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罗技/金士顿/赛睿</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佩戴方式：头戴式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降噪式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麦克风</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3.5mm插头</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键盘</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罗技/金士顿/赛睿</w:t>
            </w:r>
          </w:p>
        </w:tc>
        <w:tc>
          <w:tcPr>
            <w:tcW w:w="436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按键数：88-98</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投影仪</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索尼/明基/爱普生</w:t>
            </w:r>
          </w:p>
        </w:tc>
        <w:tc>
          <w:tcPr>
            <w:tcW w:w="4365" w:type="dxa"/>
            <w:shd w:val="clear" w:color="auto" w:fill="auto"/>
            <w:vAlign w:val="center"/>
          </w:tcPr>
          <w:p>
            <w:pPr>
              <w:jc w:val="left"/>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高清4200流明</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2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无线蓝牙音响</w:t>
            </w:r>
          </w:p>
        </w:tc>
        <w:tc>
          <w:tcPr>
            <w:tcW w:w="156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JBL/马歇尔/bose</w:t>
            </w:r>
          </w:p>
        </w:tc>
        <w:tc>
          <w:tcPr>
            <w:tcW w:w="4365" w:type="dxa"/>
            <w:shd w:val="clear" w:color="auto" w:fill="auto"/>
            <w:vAlign w:val="center"/>
          </w:tcPr>
          <w:p>
            <w:pPr>
              <w:jc w:val="left"/>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HiFi移动便携蓝牙音箱</w:t>
            </w:r>
          </w:p>
        </w:tc>
        <w:tc>
          <w:tcPr>
            <w:tcW w:w="93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2、所有产品质保期参照生产厂家三包服务，电脑质保期不少于三年。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3、交货时如出现质量、型号、参数与招标需求清单不符的情况，供应商应无条件给予更换。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4、应标单位需提供主要产品的合格证，主要设备到场后经院方验收合格后才能进行安装。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eastAsia" w:hAnsi="宋体" w:eastAsia="宋体" w:cs="宋体"/>
          <w:sz w:val="28"/>
          <w:szCs w:val="28"/>
          <w:lang w:val="en-US" w:eastAsia="zh-CN"/>
        </w:rPr>
        <w:t>5、应标单位负责项目清单内所有设备的运输以及搬运至院方指定安装位置。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1、签订合同后，10天内完成所有设备采购及调试安装；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2、报价为总价包干报价形式，报价含人工费、材料费、装卸车费、运输费、管理费、保险、质保期、利润、税金、硬件、系统安装等为完成本项目所需的所有费用，在实施期间不因市场因素而变动。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Tk0YjViNWNlODgzMGZmNjRjMjY4OGQ0MDJiZjEifQ=="/>
  </w:docVars>
  <w:rsids>
    <w:rsidRoot w:val="53C91D89"/>
    <w:rsid w:val="010951A7"/>
    <w:rsid w:val="029006F1"/>
    <w:rsid w:val="03435C52"/>
    <w:rsid w:val="041744FB"/>
    <w:rsid w:val="042621F8"/>
    <w:rsid w:val="047E1FB9"/>
    <w:rsid w:val="05B0028B"/>
    <w:rsid w:val="05C74289"/>
    <w:rsid w:val="061E3F1F"/>
    <w:rsid w:val="06D663A6"/>
    <w:rsid w:val="07664AA9"/>
    <w:rsid w:val="0AD409A0"/>
    <w:rsid w:val="0C29450A"/>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6D52249"/>
    <w:rsid w:val="28865645"/>
    <w:rsid w:val="2C022C0C"/>
    <w:rsid w:val="2CB404AC"/>
    <w:rsid w:val="2CDF3794"/>
    <w:rsid w:val="2E852EAB"/>
    <w:rsid w:val="2FC63D74"/>
    <w:rsid w:val="30D0413E"/>
    <w:rsid w:val="31040C94"/>
    <w:rsid w:val="31F22A68"/>
    <w:rsid w:val="34272BB6"/>
    <w:rsid w:val="34D91454"/>
    <w:rsid w:val="35AC53AF"/>
    <w:rsid w:val="3E2C4BB7"/>
    <w:rsid w:val="3F664045"/>
    <w:rsid w:val="40012417"/>
    <w:rsid w:val="40D46D12"/>
    <w:rsid w:val="4172433C"/>
    <w:rsid w:val="417D3E89"/>
    <w:rsid w:val="419A0FA7"/>
    <w:rsid w:val="421C47E7"/>
    <w:rsid w:val="42B208A8"/>
    <w:rsid w:val="42D712A1"/>
    <w:rsid w:val="45960004"/>
    <w:rsid w:val="46F86693"/>
    <w:rsid w:val="47A37881"/>
    <w:rsid w:val="47F24951"/>
    <w:rsid w:val="481E5360"/>
    <w:rsid w:val="485C4F2C"/>
    <w:rsid w:val="489B4B75"/>
    <w:rsid w:val="49634BF7"/>
    <w:rsid w:val="4A1F5604"/>
    <w:rsid w:val="4D1B00DF"/>
    <w:rsid w:val="4FF57096"/>
    <w:rsid w:val="50E85F0B"/>
    <w:rsid w:val="52F3051F"/>
    <w:rsid w:val="53C91D89"/>
    <w:rsid w:val="54F21A55"/>
    <w:rsid w:val="55617B80"/>
    <w:rsid w:val="56173FB4"/>
    <w:rsid w:val="561D501A"/>
    <w:rsid w:val="56515FE9"/>
    <w:rsid w:val="5A447D2A"/>
    <w:rsid w:val="5B3F6E48"/>
    <w:rsid w:val="5CB3223D"/>
    <w:rsid w:val="5CEF488A"/>
    <w:rsid w:val="5E40418F"/>
    <w:rsid w:val="5F442227"/>
    <w:rsid w:val="607F7AD3"/>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E6C177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1044</Words>
  <Characters>1274</Characters>
  <Lines>0</Lines>
  <Paragraphs>0</Paragraphs>
  <TotalTime>0</TotalTime>
  <ScaleCrop>false</ScaleCrop>
  <LinksUpToDate>false</LinksUpToDate>
  <CharactersWithSpaces>1456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睡莲</cp:lastModifiedBy>
  <cp:lastPrinted>2020-12-16T01:51:00Z</cp:lastPrinted>
  <dcterms:modified xsi:type="dcterms:W3CDTF">2022-06-27T00:30:11Z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676BB8C8E330493DB527A03640A94E19</vt:lpwstr>
  </property>
</Properties>
</file>