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关于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手术意外保险招标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工作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的要求</w:t>
      </w:r>
    </w:p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招标办：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根据2022年5月10日5-3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院长办公会批复内容要求，通过招标途径确定我院手术意外保险合作方，现具体要求如下：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一、合作对象资质要求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1.具有承接、销售手术意外险产品资质的保险公司和保险经纪公司。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2.具有相对稳定、成熟的保险产品维护（销售、理赔等）团队，可以为患者提供优质服务。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3.产品（手术意外险）成熟，能够覆盖相关高风险科室。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4.保险机构承保能力强。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二、其他要求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1.要求合作对象服从医院的相关管理规定，手术意外险的购买为患者自愿行为，院方不收取保险公司管理费用，医护人员不参与售保过程。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2.合作对象与患者在手术意外险赔付过程中出现的纠纷与院方无关。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3.合作对象在工作过程中应注意患者隐私和个人信息安全保护，禁止泄露患者隐私和患者个人信息。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4.以《医疗机构工作人员廉洁从业九项原则》为规范，合作对象在销售手术意外险过程中廉洁自律，禁止开展违法违纪行为。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三、合同期限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合同期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三年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，合同到期后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续签，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合同期内如遇政策变化可终止合同。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Tk0YjViNWNlODgzMGZmNjRjMjY4OGQ0MDJiZjEifQ=="/>
  </w:docVars>
  <w:rsids>
    <w:rsidRoot w:val="00000000"/>
    <w:rsid w:val="010703B0"/>
    <w:rsid w:val="21E063C8"/>
    <w:rsid w:val="284B010A"/>
    <w:rsid w:val="56E53448"/>
    <w:rsid w:val="6022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450</Characters>
  <Lines>0</Lines>
  <Paragraphs>0</Paragraphs>
  <TotalTime>272</TotalTime>
  <ScaleCrop>false</ScaleCrop>
  <LinksUpToDate>false</LinksUpToDate>
  <CharactersWithSpaces>515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2022-05-27T07:50:00Z</dcterms:created>
  <dc:creator>LGYY</dc:creator>
  <cp:lastModifiedBy>睡莲</cp:lastModifiedBy>
  <dcterms:modified xsi:type="dcterms:W3CDTF">2022-06-21T08:59:57Z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B2C616D8D106473E89104D832D67A4E7</vt:lpwstr>
  </property>
</Properties>
</file>