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olor w:val="auto"/>
          <w:sz w:val="84"/>
          <w:szCs w:val="84"/>
          <w:highlight w:val="none"/>
        </w:rPr>
      </w:pPr>
      <w:bookmarkStart w:id="0" w:name="_Toc429298309"/>
    </w:p>
    <w:p>
      <w:pPr>
        <w:rPr>
          <w:rFonts w:ascii="华文中宋" w:hAnsi="华文中宋" w:eastAsia="华文中宋"/>
          <w:color w:val="auto"/>
          <w:sz w:val="84"/>
          <w:szCs w:val="84"/>
          <w:highlight w:val="none"/>
        </w:rPr>
      </w:pPr>
    </w:p>
    <w:p>
      <w:pPr>
        <w:rPr>
          <w:rFonts w:ascii="华文中宋" w:hAnsi="华文中宋" w:eastAsia="华文中宋"/>
          <w:color w:val="auto"/>
          <w:sz w:val="84"/>
          <w:szCs w:val="84"/>
          <w:highlight w:val="none"/>
        </w:rPr>
      </w:pPr>
    </w:p>
    <w:p>
      <w:pPr>
        <w:rPr>
          <w:rFonts w:ascii="华文中宋" w:hAnsi="华文中宋" w:eastAsia="华文中宋"/>
          <w:color w:val="auto"/>
          <w:sz w:val="84"/>
          <w:szCs w:val="84"/>
          <w:highlight w:val="none"/>
        </w:rPr>
      </w:pPr>
    </w:p>
    <w:p>
      <w:pPr>
        <w:pStyle w:val="2"/>
        <w:jc w:val="center"/>
        <w:rPr>
          <w:rFonts w:ascii="华文中宋" w:hAnsi="华文中宋" w:eastAsia="华文中宋"/>
          <w:b w:val="0"/>
          <w:bCs w:val="0"/>
          <w:color w:val="auto"/>
          <w:sz w:val="84"/>
          <w:szCs w:val="84"/>
          <w:highlight w:val="none"/>
        </w:rPr>
      </w:pPr>
      <w:r>
        <w:rPr>
          <w:rFonts w:hint="eastAsia" w:ascii="华文中宋" w:hAnsi="华文中宋" w:eastAsia="华文中宋"/>
          <w:b w:val="0"/>
          <w:bCs w:val="0"/>
          <w:color w:val="auto"/>
          <w:sz w:val="84"/>
          <w:szCs w:val="84"/>
          <w:highlight w:val="none"/>
        </w:rPr>
        <w:t>柳州市工人医院</w:t>
      </w:r>
    </w:p>
    <w:p>
      <w:pPr>
        <w:jc w:val="center"/>
        <w:rPr>
          <w:rFonts w:ascii="华文中宋" w:hAnsi="华文中宋" w:eastAsia="华文中宋"/>
          <w:color w:val="auto"/>
          <w:sz w:val="84"/>
          <w:szCs w:val="84"/>
          <w:highlight w:val="none"/>
        </w:rPr>
      </w:pPr>
      <w:r>
        <w:rPr>
          <w:rFonts w:hint="eastAsia" w:ascii="华文中宋" w:hAnsi="华文中宋" w:eastAsia="华文中宋"/>
          <w:color w:val="auto"/>
          <w:sz w:val="84"/>
          <w:szCs w:val="84"/>
          <w:highlight w:val="none"/>
        </w:rPr>
        <w:t>绩效管理系统升级</w:t>
      </w:r>
    </w:p>
    <w:p>
      <w:pPr>
        <w:jc w:val="center"/>
        <w:rPr>
          <w:rFonts w:ascii="华文中宋" w:hAnsi="华文中宋" w:eastAsia="华文中宋"/>
          <w:color w:val="auto"/>
          <w:sz w:val="84"/>
          <w:szCs w:val="84"/>
          <w:highlight w:val="none"/>
        </w:rPr>
      </w:pPr>
      <w:r>
        <w:rPr>
          <w:rFonts w:hint="eastAsia" w:ascii="华文中宋" w:hAnsi="华文中宋" w:eastAsia="华文中宋"/>
          <w:color w:val="auto"/>
          <w:sz w:val="84"/>
          <w:szCs w:val="84"/>
          <w:highlight w:val="none"/>
        </w:rPr>
        <w:t>技术参数要求</w:t>
      </w:r>
    </w:p>
    <w:p>
      <w:pPr>
        <w:pStyle w:val="2"/>
        <w:rPr>
          <w:color w:val="auto"/>
          <w:highlight w:val="none"/>
        </w:rPr>
      </w:pPr>
    </w:p>
    <w:p>
      <w:pPr>
        <w:rPr>
          <w:rFonts w:ascii="华文中宋" w:hAnsi="华文中宋" w:eastAsia="华文中宋"/>
          <w:color w:val="auto"/>
          <w:kern w:val="44"/>
          <w:highlight w:val="none"/>
        </w:rPr>
      </w:pPr>
      <w:r>
        <w:rPr>
          <w:rFonts w:ascii="华文中宋" w:hAnsi="华文中宋" w:eastAsia="华文中宋"/>
          <w:color w:val="auto"/>
          <w:highlight w:val="none"/>
        </w:rPr>
        <w:br w:type="page"/>
      </w:r>
    </w:p>
    <w:sdt>
      <w:sdtPr>
        <w:rPr>
          <w:rFonts w:ascii="华文中宋" w:hAnsi="华文中宋" w:eastAsia="华文中宋"/>
          <w:color w:val="auto"/>
          <w:highlight w:val="none"/>
          <w:lang w:val="zh-CN"/>
        </w:rPr>
        <w:id w:val="1856768327"/>
        <w:docPartObj>
          <w:docPartGallery w:val="Table of Contents"/>
          <w:docPartUnique/>
        </w:docPartObj>
      </w:sdtPr>
      <w:sdtEndPr>
        <w:rPr>
          <w:rFonts w:ascii="宋体" w:hAnsi="宋体" w:eastAsia="宋体"/>
          <w:b/>
          <w:bCs/>
          <w:color w:val="auto"/>
          <w:sz w:val="28"/>
          <w:szCs w:val="28"/>
          <w:highlight w:val="none"/>
          <w:lang w:val="zh-CN"/>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1"/>
            <w:tabs>
              <w:tab w:val="right" w:leader="dot" w:pos="9460"/>
            </w:tabs>
            <w:rPr>
              <w:color w:val="auto"/>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TOC \o "1-3" \h \z \u </w:instrText>
          </w:r>
          <w:r>
            <w:rPr>
              <w:rFonts w:ascii="宋体" w:hAnsi="宋体" w:eastAsia="宋体"/>
              <w:color w:val="auto"/>
              <w:sz w:val="28"/>
              <w:szCs w:val="28"/>
              <w:highlight w:val="none"/>
            </w:rPr>
            <w:fldChar w:fldCharType="separate"/>
          </w:r>
          <w:r>
            <w:rPr>
              <w:rFonts w:ascii="宋体" w:hAnsi="宋体" w:eastAsia="宋体"/>
              <w:color w:val="auto"/>
              <w:szCs w:val="28"/>
              <w:highlight w:val="none"/>
            </w:rPr>
            <w:fldChar w:fldCharType="begin"/>
          </w:r>
          <w:r>
            <w:rPr>
              <w:rFonts w:ascii="宋体" w:hAnsi="宋体" w:eastAsia="宋体"/>
              <w:color w:val="auto"/>
              <w:szCs w:val="28"/>
              <w:highlight w:val="none"/>
            </w:rPr>
            <w:instrText xml:space="preserve"> HYPERLINK \l _Toc9239 </w:instrText>
          </w:r>
          <w:r>
            <w:rPr>
              <w:rFonts w:ascii="宋体" w:hAnsi="宋体" w:eastAsia="宋体"/>
              <w:color w:val="auto"/>
              <w:szCs w:val="28"/>
              <w:highlight w:val="none"/>
            </w:rPr>
            <w:fldChar w:fldCharType="separate"/>
          </w:r>
          <w:r>
            <w:rPr>
              <w:rFonts w:hint="eastAsia"/>
              <w:color w:val="auto"/>
              <w:highlight w:val="none"/>
              <w:shd w:val="clear" w:fill="FFFFFF"/>
            </w:rPr>
            <w:t xml:space="preserve">一、 </w:t>
          </w:r>
          <w:r>
            <w:rPr>
              <w:rFonts w:hint="eastAsia"/>
              <w:color w:val="auto"/>
              <w:highlight w:val="none"/>
              <w:shd w:val="clear" w:color="auto" w:fill="FFFFFF"/>
            </w:rPr>
            <w:t>项目名称</w:t>
          </w:r>
          <w:r>
            <w:rPr>
              <w:color w:val="auto"/>
              <w:highlight w:val="none"/>
            </w:rPr>
            <w:tab/>
          </w:r>
          <w:r>
            <w:rPr>
              <w:color w:val="auto"/>
              <w:highlight w:val="none"/>
            </w:rPr>
            <w:fldChar w:fldCharType="begin"/>
          </w:r>
          <w:r>
            <w:rPr>
              <w:color w:val="auto"/>
              <w:highlight w:val="none"/>
            </w:rPr>
            <w:instrText xml:space="preserve"> PAGEREF _Toc9239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_Toc944 </w:instrText>
          </w:r>
          <w:r>
            <w:rPr>
              <w:rFonts w:ascii="宋体" w:hAnsi="宋体" w:eastAsia="宋体" w:cs="Times New Roman"/>
              <w:color w:val="auto"/>
              <w:kern w:val="0"/>
              <w:szCs w:val="28"/>
              <w:highlight w:val="none"/>
            </w:rPr>
            <w:fldChar w:fldCharType="separate"/>
          </w:r>
          <w:r>
            <w:rPr>
              <w:rFonts w:hint="eastAsia"/>
              <w:color w:val="auto"/>
              <w:highlight w:val="none"/>
              <w:shd w:val="clear" w:fill="FFFFFF"/>
            </w:rPr>
            <w:t xml:space="preserve">二、 </w:t>
          </w:r>
          <w:r>
            <w:rPr>
              <w:rFonts w:hint="eastAsia"/>
              <w:color w:val="auto"/>
              <w:highlight w:val="none"/>
              <w:shd w:val="clear" w:color="auto" w:fill="FFFFFF"/>
            </w:rPr>
            <w:t>项目政策背景</w:t>
          </w:r>
          <w:r>
            <w:rPr>
              <w:color w:val="auto"/>
              <w:highlight w:val="none"/>
            </w:rPr>
            <w:tab/>
          </w:r>
          <w:r>
            <w:rPr>
              <w:color w:val="auto"/>
              <w:highlight w:val="none"/>
            </w:rPr>
            <w:fldChar w:fldCharType="begin"/>
          </w:r>
          <w:r>
            <w:rPr>
              <w:color w:val="auto"/>
              <w:highlight w:val="none"/>
            </w:rPr>
            <w:instrText xml:space="preserve"> PAGEREF _Toc944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_Toc25129 </w:instrText>
          </w:r>
          <w:r>
            <w:rPr>
              <w:rFonts w:ascii="宋体" w:hAnsi="宋体" w:eastAsia="宋体" w:cs="Times New Roman"/>
              <w:color w:val="auto"/>
              <w:kern w:val="0"/>
              <w:szCs w:val="28"/>
              <w:highlight w:val="none"/>
            </w:rPr>
            <w:fldChar w:fldCharType="separate"/>
          </w:r>
          <w:r>
            <w:rPr>
              <w:rFonts w:hint="eastAsia"/>
              <w:color w:val="auto"/>
              <w:highlight w:val="none"/>
            </w:rPr>
            <w:t>三、 项目建设原则</w:t>
          </w:r>
          <w:r>
            <w:rPr>
              <w:color w:val="auto"/>
              <w:highlight w:val="none"/>
            </w:rPr>
            <w:tab/>
          </w:r>
          <w:r>
            <w:rPr>
              <w:color w:val="auto"/>
              <w:highlight w:val="none"/>
            </w:rPr>
            <w:fldChar w:fldCharType="begin"/>
          </w:r>
          <w:r>
            <w:rPr>
              <w:color w:val="auto"/>
              <w:highlight w:val="none"/>
            </w:rPr>
            <w:instrText xml:space="preserve"> PAGEREF _Toc25129 </w:instrText>
          </w:r>
          <w:r>
            <w:rPr>
              <w:color w:val="auto"/>
              <w:highlight w:val="none"/>
            </w:rPr>
            <w:fldChar w:fldCharType="separate"/>
          </w:r>
          <w:r>
            <w:rPr>
              <w:color w:val="auto"/>
              <w:highlight w:val="none"/>
            </w:rPr>
            <w:t>2</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_Toc225 </w:instrText>
          </w:r>
          <w:r>
            <w:rPr>
              <w:rFonts w:ascii="宋体" w:hAnsi="宋体" w:eastAsia="宋体" w:cs="Times New Roman"/>
              <w:color w:val="auto"/>
              <w:kern w:val="0"/>
              <w:szCs w:val="28"/>
              <w:highlight w:val="none"/>
            </w:rPr>
            <w:fldChar w:fldCharType="separate"/>
          </w:r>
          <w:r>
            <w:rPr>
              <w:rFonts w:hint="eastAsia"/>
              <w:color w:val="auto"/>
              <w:highlight w:val="none"/>
            </w:rPr>
            <w:t>四、 项目建设总体要求</w:t>
          </w:r>
          <w:r>
            <w:rPr>
              <w:color w:val="auto"/>
              <w:highlight w:val="none"/>
            </w:rPr>
            <w:tab/>
          </w:r>
          <w:r>
            <w:rPr>
              <w:color w:val="auto"/>
              <w:highlight w:val="none"/>
            </w:rPr>
            <w:fldChar w:fldCharType="begin"/>
          </w:r>
          <w:r>
            <w:rPr>
              <w:color w:val="auto"/>
              <w:highlight w:val="none"/>
            </w:rPr>
            <w:instrText xml:space="preserve"> PAGEREF _Toc225 </w:instrText>
          </w:r>
          <w:r>
            <w:rPr>
              <w:color w:val="auto"/>
              <w:highlight w:val="none"/>
            </w:rPr>
            <w:fldChar w:fldCharType="separate"/>
          </w:r>
          <w:r>
            <w:rPr>
              <w:color w:val="auto"/>
              <w:highlight w:val="none"/>
            </w:rPr>
            <w:t>2</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_Toc8316 </w:instrText>
          </w:r>
          <w:r>
            <w:rPr>
              <w:rFonts w:ascii="宋体" w:hAnsi="宋体" w:eastAsia="宋体" w:cs="Times New Roman"/>
              <w:color w:val="auto"/>
              <w:kern w:val="0"/>
              <w:szCs w:val="28"/>
              <w:highlight w:val="none"/>
            </w:rPr>
            <w:fldChar w:fldCharType="separate"/>
          </w:r>
          <w:r>
            <w:rPr>
              <w:rFonts w:hint="eastAsia"/>
              <w:color w:val="auto"/>
              <w:highlight w:val="none"/>
            </w:rPr>
            <w:t>五、 项目建设内容</w:t>
          </w:r>
          <w:r>
            <w:rPr>
              <w:color w:val="auto"/>
              <w:highlight w:val="none"/>
            </w:rPr>
            <w:tab/>
          </w:r>
          <w:r>
            <w:rPr>
              <w:color w:val="auto"/>
              <w:highlight w:val="none"/>
            </w:rPr>
            <w:fldChar w:fldCharType="begin"/>
          </w:r>
          <w:r>
            <w:rPr>
              <w:color w:val="auto"/>
              <w:highlight w:val="none"/>
            </w:rPr>
            <w:instrText xml:space="preserve"> PAGEREF _Toc8316 </w:instrText>
          </w:r>
          <w:r>
            <w:rPr>
              <w:color w:val="auto"/>
              <w:highlight w:val="none"/>
            </w:rPr>
            <w:fldChar w:fldCharType="separate"/>
          </w:r>
          <w:r>
            <w:rPr>
              <w:color w:val="auto"/>
              <w:highlight w:val="none"/>
            </w:rPr>
            <w:t>3</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_Toc4053 </w:instrText>
          </w:r>
          <w:r>
            <w:rPr>
              <w:rFonts w:ascii="宋体" w:hAnsi="宋体" w:eastAsia="宋体" w:cs="Times New Roman"/>
              <w:color w:val="auto"/>
              <w:kern w:val="0"/>
              <w:szCs w:val="28"/>
              <w:highlight w:val="none"/>
            </w:rPr>
            <w:fldChar w:fldCharType="separate"/>
          </w:r>
          <w:r>
            <w:rPr>
              <w:rFonts w:hint="eastAsia"/>
              <w:color w:val="auto"/>
              <w:highlight w:val="none"/>
            </w:rPr>
            <w:t>六、 咨询服务需求</w:t>
          </w:r>
          <w:r>
            <w:rPr>
              <w:color w:val="auto"/>
              <w:highlight w:val="none"/>
            </w:rPr>
            <w:tab/>
          </w:r>
          <w:r>
            <w:rPr>
              <w:color w:val="auto"/>
              <w:highlight w:val="none"/>
            </w:rPr>
            <w:fldChar w:fldCharType="begin"/>
          </w:r>
          <w:r>
            <w:rPr>
              <w:color w:val="auto"/>
              <w:highlight w:val="none"/>
            </w:rPr>
            <w:instrText xml:space="preserve"> PAGEREF _Toc4053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_Toc21240 </w:instrText>
          </w:r>
          <w:r>
            <w:rPr>
              <w:rFonts w:ascii="宋体" w:hAnsi="宋体" w:eastAsia="宋体" w:cs="Times New Roman"/>
              <w:color w:val="auto"/>
              <w:kern w:val="0"/>
              <w:szCs w:val="28"/>
              <w:highlight w:val="none"/>
            </w:rPr>
            <w:fldChar w:fldCharType="separate"/>
          </w:r>
          <w:r>
            <w:rPr>
              <w:rFonts w:hint="eastAsia"/>
              <w:color w:val="auto"/>
              <w:highlight w:val="none"/>
            </w:rPr>
            <w:t>6.1 职能后勤人员定岗定编模块</w:t>
          </w:r>
          <w:r>
            <w:rPr>
              <w:color w:val="auto"/>
              <w:highlight w:val="none"/>
            </w:rPr>
            <w:tab/>
          </w:r>
          <w:r>
            <w:rPr>
              <w:color w:val="auto"/>
              <w:highlight w:val="none"/>
            </w:rPr>
            <w:fldChar w:fldCharType="begin"/>
          </w:r>
          <w:r>
            <w:rPr>
              <w:color w:val="auto"/>
              <w:highlight w:val="none"/>
            </w:rPr>
            <w:instrText xml:space="preserve"> PAGEREF _Toc21240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_Toc8948 </w:instrText>
          </w:r>
          <w:r>
            <w:rPr>
              <w:rFonts w:ascii="宋体" w:hAnsi="宋体" w:eastAsia="宋体" w:cs="Times New Roman"/>
              <w:color w:val="auto"/>
              <w:kern w:val="0"/>
              <w:szCs w:val="28"/>
              <w:highlight w:val="none"/>
            </w:rPr>
            <w:fldChar w:fldCharType="separate"/>
          </w:r>
          <w:r>
            <w:rPr>
              <w:rFonts w:hint="eastAsia"/>
              <w:color w:val="auto"/>
              <w:highlight w:val="none"/>
            </w:rPr>
            <w:t>6.2 医院学科建设激励模块（CMI/RW）</w:t>
          </w:r>
          <w:r>
            <w:rPr>
              <w:color w:val="auto"/>
              <w:highlight w:val="none"/>
            </w:rPr>
            <w:tab/>
          </w:r>
          <w:r>
            <w:rPr>
              <w:color w:val="auto"/>
              <w:highlight w:val="none"/>
            </w:rPr>
            <w:fldChar w:fldCharType="begin"/>
          </w:r>
          <w:r>
            <w:rPr>
              <w:color w:val="auto"/>
              <w:highlight w:val="none"/>
            </w:rPr>
            <w:instrText xml:space="preserve"> PAGEREF _Toc8948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_Toc16388 </w:instrText>
          </w:r>
          <w:r>
            <w:rPr>
              <w:rFonts w:ascii="宋体" w:hAnsi="宋体" w:eastAsia="宋体" w:cs="Times New Roman"/>
              <w:color w:val="auto"/>
              <w:kern w:val="0"/>
              <w:szCs w:val="28"/>
              <w:highlight w:val="none"/>
            </w:rPr>
            <w:fldChar w:fldCharType="separate"/>
          </w:r>
          <w:r>
            <w:rPr>
              <w:rFonts w:hint="eastAsia"/>
              <w:color w:val="auto"/>
              <w:highlight w:val="none"/>
            </w:rPr>
            <w:t>6.3 DRG/DIP环境下绩效奖金模块</w:t>
          </w:r>
          <w:r>
            <w:rPr>
              <w:color w:val="auto"/>
              <w:highlight w:val="none"/>
            </w:rPr>
            <w:tab/>
          </w:r>
          <w:r>
            <w:rPr>
              <w:color w:val="auto"/>
              <w:highlight w:val="none"/>
            </w:rPr>
            <w:fldChar w:fldCharType="begin"/>
          </w:r>
          <w:r>
            <w:rPr>
              <w:color w:val="auto"/>
              <w:highlight w:val="none"/>
            </w:rPr>
            <w:instrText xml:space="preserve"> PAGEREF _Toc16388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_Toc30268 </w:instrText>
          </w:r>
          <w:r>
            <w:rPr>
              <w:rFonts w:ascii="宋体" w:hAnsi="宋体" w:eastAsia="宋体" w:cs="Times New Roman"/>
              <w:color w:val="auto"/>
              <w:kern w:val="0"/>
              <w:szCs w:val="28"/>
              <w:highlight w:val="none"/>
            </w:rPr>
            <w:fldChar w:fldCharType="separate"/>
          </w:r>
          <w:r>
            <w:rPr>
              <w:rFonts w:hint="eastAsia"/>
              <w:color w:val="auto"/>
              <w:highlight w:val="none"/>
            </w:rPr>
            <w:t>6.4 质量考核（含三级公立综合医院绩效考核）指标模块</w:t>
          </w:r>
          <w:r>
            <w:rPr>
              <w:color w:val="auto"/>
              <w:highlight w:val="none"/>
            </w:rPr>
            <w:tab/>
          </w:r>
          <w:r>
            <w:rPr>
              <w:color w:val="auto"/>
              <w:highlight w:val="none"/>
            </w:rPr>
            <w:fldChar w:fldCharType="begin"/>
          </w:r>
          <w:r>
            <w:rPr>
              <w:color w:val="auto"/>
              <w:highlight w:val="none"/>
            </w:rPr>
            <w:instrText xml:space="preserve"> PAGEREF _Toc30268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s="Times New Roman"/>
              <w:color w:val="auto"/>
              <w:kern w:val="0"/>
              <w:szCs w:val="28"/>
              <w:highlight w:val="none"/>
            </w:rPr>
            <w:fldChar w:fldCharType="end"/>
          </w:r>
        </w:p>
        <w:p>
          <w:pPr>
            <w:pStyle w:val="8"/>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_Toc19979 </w:instrText>
          </w:r>
          <w:r>
            <w:rPr>
              <w:rFonts w:ascii="宋体" w:hAnsi="宋体" w:eastAsia="宋体" w:cs="Times New Roman"/>
              <w:color w:val="auto"/>
              <w:kern w:val="0"/>
              <w:szCs w:val="28"/>
              <w:highlight w:val="none"/>
            </w:rPr>
            <w:fldChar w:fldCharType="separate"/>
          </w:r>
          <w:r>
            <w:rPr>
              <w:rFonts w:hint="eastAsia"/>
              <w:color w:val="auto"/>
              <w:highlight w:val="none"/>
            </w:rPr>
            <w:t xml:space="preserve">6.4.1 </w:t>
          </w:r>
          <w:r>
            <w:rPr>
              <w:color w:val="auto"/>
              <w:highlight w:val="none"/>
            </w:rPr>
            <w:t>绩效数据治理</w:t>
          </w:r>
          <w:r>
            <w:rPr>
              <w:color w:val="auto"/>
              <w:highlight w:val="none"/>
            </w:rPr>
            <w:tab/>
          </w:r>
          <w:r>
            <w:rPr>
              <w:color w:val="auto"/>
              <w:highlight w:val="none"/>
            </w:rPr>
            <w:fldChar w:fldCharType="begin"/>
          </w:r>
          <w:r>
            <w:rPr>
              <w:color w:val="auto"/>
              <w:highlight w:val="none"/>
            </w:rPr>
            <w:instrText xml:space="preserve"> PAGEREF _Toc19979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s="Times New Roman"/>
              <w:color w:val="auto"/>
              <w:kern w:val="0"/>
              <w:szCs w:val="28"/>
              <w:highlight w:val="none"/>
            </w:rPr>
            <w:fldChar w:fldCharType="end"/>
          </w:r>
        </w:p>
        <w:p>
          <w:pPr>
            <w:pStyle w:val="8"/>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_Toc12077 </w:instrText>
          </w:r>
          <w:r>
            <w:rPr>
              <w:rFonts w:ascii="宋体" w:hAnsi="宋体" w:eastAsia="宋体" w:cs="Times New Roman"/>
              <w:color w:val="auto"/>
              <w:kern w:val="0"/>
              <w:szCs w:val="28"/>
              <w:highlight w:val="none"/>
            </w:rPr>
            <w:fldChar w:fldCharType="separate"/>
          </w:r>
          <w:r>
            <w:rPr>
              <w:rFonts w:hint="eastAsia"/>
              <w:color w:val="auto"/>
              <w:highlight w:val="none"/>
            </w:rPr>
            <w:t xml:space="preserve">6.4.2 </w:t>
          </w:r>
          <w:r>
            <w:rPr>
              <w:color w:val="auto"/>
              <w:highlight w:val="none"/>
            </w:rPr>
            <w:t>医院/科室指标目标值设置</w:t>
          </w:r>
          <w:r>
            <w:rPr>
              <w:color w:val="auto"/>
              <w:highlight w:val="none"/>
            </w:rPr>
            <w:tab/>
          </w:r>
          <w:r>
            <w:rPr>
              <w:color w:val="auto"/>
              <w:highlight w:val="none"/>
            </w:rPr>
            <w:fldChar w:fldCharType="begin"/>
          </w:r>
          <w:r>
            <w:rPr>
              <w:color w:val="auto"/>
              <w:highlight w:val="none"/>
            </w:rPr>
            <w:instrText xml:space="preserve"> PAGEREF _Toc12077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s="Times New Roman"/>
              <w:color w:val="auto"/>
              <w:kern w:val="0"/>
              <w:szCs w:val="28"/>
              <w:highlight w:val="none"/>
            </w:rPr>
            <w:fldChar w:fldCharType="end"/>
          </w:r>
        </w:p>
        <w:p>
          <w:pPr>
            <w:pStyle w:val="8"/>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_Toc2630 </w:instrText>
          </w:r>
          <w:r>
            <w:rPr>
              <w:rFonts w:ascii="宋体" w:hAnsi="宋体" w:eastAsia="宋体" w:cs="Times New Roman"/>
              <w:color w:val="auto"/>
              <w:kern w:val="0"/>
              <w:szCs w:val="28"/>
              <w:highlight w:val="none"/>
            </w:rPr>
            <w:fldChar w:fldCharType="separate"/>
          </w:r>
          <w:r>
            <w:rPr>
              <w:rFonts w:hint="eastAsia"/>
              <w:color w:val="auto"/>
              <w:highlight w:val="none"/>
            </w:rPr>
            <w:t xml:space="preserve">6.4.3 </w:t>
          </w:r>
          <w:r>
            <w:rPr>
              <w:color w:val="auto"/>
              <w:highlight w:val="none"/>
            </w:rPr>
            <w:t>指标改进的绩效激励方案设计</w:t>
          </w:r>
          <w:r>
            <w:rPr>
              <w:color w:val="auto"/>
              <w:highlight w:val="none"/>
            </w:rPr>
            <w:tab/>
          </w:r>
          <w:r>
            <w:rPr>
              <w:color w:val="auto"/>
              <w:highlight w:val="none"/>
            </w:rPr>
            <w:fldChar w:fldCharType="begin"/>
          </w:r>
          <w:r>
            <w:rPr>
              <w:color w:val="auto"/>
              <w:highlight w:val="none"/>
            </w:rPr>
            <w:instrText xml:space="preserve"> PAGEREF _Toc2630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_Toc5357 </w:instrText>
          </w:r>
          <w:r>
            <w:rPr>
              <w:rFonts w:ascii="宋体" w:hAnsi="宋体" w:eastAsia="宋体" w:cs="Times New Roman"/>
              <w:color w:val="auto"/>
              <w:kern w:val="0"/>
              <w:szCs w:val="28"/>
              <w:highlight w:val="none"/>
            </w:rPr>
            <w:fldChar w:fldCharType="separate"/>
          </w:r>
          <w:r>
            <w:rPr>
              <w:rFonts w:hint="eastAsia"/>
              <w:color w:val="auto"/>
              <w:highlight w:val="none"/>
            </w:rPr>
            <w:t>七、 配套系统功能要求</w:t>
          </w:r>
          <w:r>
            <w:rPr>
              <w:color w:val="auto"/>
              <w:highlight w:val="none"/>
            </w:rPr>
            <w:tab/>
          </w:r>
          <w:r>
            <w:rPr>
              <w:color w:val="auto"/>
              <w:highlight w:val="none"/>
            </w:rPr>
            <w:fldChar w:fldCharType="begin"/>
          </w:r>
          <w:r>
            <w:rPr>
              <w:color w:val="auto"/>
              <w:highlight w:val="none"/>
            </w:rPr>
            <w:instrText xml:space="preserve"> PAGEREF _Toc5357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_Toc6864 </w:instrText>
          </w:r>
          <w:r>
            <w:rPr>
              <w:rFonts w:ascii="宋体" w:hAnsi="宋体" w:eastAsia="宋体" w:cs="Times New Roman"/>
              <w:color w:val="auto"/>
              <w:kern w:val="0"/>
              <w:szCs w:val="28"/>
              <w:highlight w:val="none"/>
            </w:rPr>
            <w:fldChar w:fldCharType="separate"/>
          </w:r>
          <w:r>
            <w:rPr>
              <w:rFonts w:hint="eastAsia"/>
              <w:color w:val="auto"/>
              <w:highlight w:val="none"/>
            </w:rPr>
            <w:t xml:space="preserve">7.1 </w:t>
          </w:r>
          <w:r>
            <w:rPr>
              <w:color w:val="auto"/>
              <w:highlight w:val="none"/>
            </w:rPr>
            <w:t>W</w:t>
          </w:r>
          <w:r>
            <w:rPr>
              <w:rFonts w:hint="eastAsia"/>
              <w:color w:val="auto"/>
              <w:highlight w:val="none"/>
            </w:rPr>
            <w:t>eb绩效运营平台</w:t>
          </w:r>
          <w:r>
            <w:rPr>
              <w:color w:val="auto"/>
              <w:highlight w:val="none"/>
            </w:rPr>
            <w:tab/>
          </w:r>
          <w:r>
            <w:rPr>
              <w:color w:val="auto"/>
              <w:highlight w:val="none"/>
            </w:rPr>
            <w:fldChar w:fldCharType="begin"/>
          </w:r>
          <w:r>
            <w:rPr>
              <w:color w:val="auto"/>
              <w:highlight w:val="none"/>
            </w:rPr>
            <w:instrText xml:space="preserve"> PAGEREF _Toc6864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_Toc27281 </w:instrText>
          </w:r>
          <w:r>
            <w:rPr>
              <w:rFonts w:ascii="宋体" w:hAnsi="宋体" w:eastAsia="宋体" w:cs="Times New Roman"/>
              <w:color w:val="auto"/>
              <w:kern w:val="0"/>
              <w:szCs w:val="28"/>
              <w:highlight w:val="none"/>
            </w:rPr>
            <w:fldChar w:fldCharType="separate"/>
          </w:r>
          <w:r>
            <w:rPr>
              <w:rFonts w:hint="eastAsia"/>
              <w:color w:val="auto"/>
              <w:highlight w:val="none"/>
            </w:rPr>
            <w:t>7.2 职能后勤人员定岗定编模块</w:t>
          </w:r>
          <w:r>
            <w:rPr>
              <w:color w:val="auto"/>
              <w:highlight w:val="none"/>
            </w:rPr>
            <w:tab/>
          </w:r>
          <w:r>
            <w:rPr>
              <w:color w:val="auto"/>
              <w:highlight w:val="none"/>
            </w:rPr>
            <w:fldChar w:fldCharType="begin"/>
          </w:r>
          <w:r>
            <w:rPr>
              <w:color w:val="auto"/>
              <w:highlight w:val="none"/>
            </w:rPr>
            <w:instrText xml:space="preserve"> PAGEREF _Toc27281 </w:instrText>
          </w:r>
          <w:r>
            <w:rPr>
              <w:color w:val="auto"/>
              <w:highlight w:val="none"/>
            </w:rPr>
            <w:fldChar w:fldCharType="separate"/>
          </w:r>
          <w:r>
            <w:rPr>
              <w:color w:val="auto"/>
              <w:highlight w:val="none"/>
            </w:rPr>
            <w:t>8</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_Toc7749 </w:instrText>
          </w:r>
          <w:r>
            <w:rPr>
              <w:rFonts w:ascii="宋体" w:hAnsi="宋体" w:eastAsia="宋体" w:cs="Times New Roman"/>
              <w:color w:val="auto"/>
              <w:kern w:val="0"/>
              <w:szCs w:val="28"/>
              <w:highlight w:val="none"/>
            </w:rPr>
            <w:fldChar w:fldCharType="separate"/>
          </w:r>
          <w:r>
            <w:rPr>
              <w:rFonts w:hint="eastAsia"/>
              <w:color w:val="auto"/>
              <w:highlight w:val="none"/>
            </w:rPr>
            <w:t>7.3 医院学科建设激励模块（CMI/RW）</w:t>
          </w:r>
          <w:r>
            <w:rPr>
              <w:color w:val="auto"/>
              <w:highlight w:val="none"/>
            </w:rPr>
            <w:tab/>
          </w:r>
          <w:r>
            <w:rPr>
              <w:color w:val="auto"/>
              <w:highlight w:val="none"/>
            </w:rPr>
            <w:fldChar w:fldCharType="begin"/>
          </w:r>
          <w:r>
            <w:rPr>
              <w:color w:val="auto"/>
              <w:highlight w:val="none"/>
            </w:rPr>
            <w:instrText xml:space="preserve"> PAGEREF _Toc7749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_Toc1201 </w:instrText>
          </w:r>
          <w:r>
            <w:rPr>
              <w:rFonts w:ascii="宋体" w:hAnsi="宋体" w:eastAsia="宋体" w:cs="Times New Roman"/>
              <w:color w:val="auto"/>
              <w:kern w:val="0"/>
              <w:szCs w:val="28"/>
              <w:highlight w:val="none"/>
            </w:rPr>
            <w:fldChar w:fldCharType="separate"/>
          </w:r>
          <w:r>
            <w:rPr>
              <w:rFonts w:hint="eastAsia"/>
              <w:color w:val="auto"/>
              <w:highlight w:val="none"/>
            </w:rPr>
            <w:t xml:space="preserve">7.4 </w:t>
          </w:r>
          <w:r>
            <w:rPr>
              <w:color w:val="auto"/>
              <w:highlight w:val="none"/>
            </w:rPr>
            <w:t>DRG/DIP</w:t>
          </w:r>
          <w:r>
            <w:rPr>
              <w:rFonts w:hint="eastAsia"/>
              <w:color w:val="auto"/>
              <w:highlight w:val="none"/>
            </w:rPr>
            <w:t>环境下绩效奖金模块</w:t>
          </w:r>
          <w:r>
            <w:rPr>
              <w:color w:val="auto"/>
              <w:highlight w:val="none"/>
            </w:rPr>
            <w:tab/>
          </w:r>
          <w:r>
            <w:rPr>
              <w:color w:val="auto"/>
              <w:highlight w:val="none"/>
            </w:rPr>
            <w:fldChar w:fldCharType="begin"/>
          </w:r>
          <w:r>
            <w:rPr>
              <w:color w:val="auto"/>
              <w:highlight w:val="none"/>
            </w:rPr>
            <w:instrText xml:space="preserve"> PAGEREF _Toc1201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_Toc19843 </w:instrText>
          </w:r>
          <w:r>
            <w:rPr>
              <w:rFonts w:ascii="宋体" w:hAnsi="宋体" w:eastAsia="宋体" w:cs="Times New Roman"/>
              <w:color w:val="auto"/>
              <w:kern w:val="0"/>
              <w:szCs w:val="28"/>
              <w:highlight w:val="none"/>
            </w:rPr>
            <w:fldChar w:fldCharType="separate"/>
          </w:r>
          <w:r>
            <w:rPr>
              <w:rFonts w:hint="eastAsia"/>
              <w:color w:val="auto"/>
              <w:highlight w:val="none"/>
            </w:rPr>
            <w:t>7.5 质量考核（含三级公立综合医院绩效考核）指标模块</w:t>
          </w:r>
          <w:r>
            <w:rPr>
              <w:color w:val="auto"/>
              <w:highlight w:val="none"/>
            </w:rPr>
            <w:tab/>
          </w:r>
          <w:r>
            <w:rPr>
              <w:color w:val="auto"/>
              <w:highlight w:val="none"/>
            </w:rPr>
            <w:fldChar w:fldCharType="begin"/>
          </w:r>
          <w:r>
            <w:rPr>
              <w:color w:val="auto"/>
              <w:highlight w:val="none"/>
            </w:rPr>
            <w:instrText xml:space="preserve"> PAGEREF _Toc19843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_Toc15545 </w:instrText>
          </w:r>
          <w:r>
            <w:rPr>
              <w:rFonts w:ascii="宋体" w:hAnsi="宋体" w:eastAsia="宋体" w:cs="Times New Roman"/>
              <w:color w:val="auto"/>
              <w:kern w:val="0"/>
              <w:szCs w:val="28"/>
              <w:highlight w:val="none"/>
            </w:rPr>
            <w:fldChar w:fldCharType="separate"/>
          </w:r>
          <w:r>
            <w:rPr>
              <w:rFonts w:hint="eastAsia"/>
              <w:color w:val="auto"/>
              <w:highlight w:val="none"/>
            </w:rPr>
            <w:t>八、 项目建设技术要求</w:t>
          </w:r>
          <w:r>
            <w:rPr>
              <w:color w:val="auto"/>
              <w:highlight w:val="none"/>
            </w:rPr>
            <w:tab/>
          </w:r>
          <w:r>
            <w:rPr>
              <w:color w:val="auto"/>
              <w:highlight w:val="none"/>
            </w:rPr>
            <w:fldChar w:fldCharType="begin"/>
          </w:r>
          <w:r>
            <w:rPr>
              <w:color w:val="auto"/>
              <w:highlight w:val="none"/>
            </w:rPr>
            <w:instrText xml:space="preserve"> PAGEREF _Toc15545 </w:instrText>
          </w:r>
          <w:r>
            <w:rPr>
              <w:color w:val="auto"/>
              <w:highlight w:val="none"/>
            </w:rPr>
            <w:fldChar w:fldCharType="separate"/>
          </w:r>
          <w:r>
            <w:rPr>
              <w:color w:val="auto"/>
              <w:highlight w:val="none"/>
            </w:rPr>
            <w:t>10</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_Toc6212 </w:instrText>
          </w:r>
          <w:r>
            <w:rPr>
              <w:rFonts w:ascii="宋体" w:hAnsi="宋体" w:eastAsia="宋体" w:cs="Times New Roman"/>
              <w:color w:val="auto"/>
              <w:kern w:val="0"/>
              <w:szCs w:val="28"/>
              <w:highlight w:val="none"/>
            </w:rPr>
            <w:fldChar w:fldCharType="separate"/>
          </w:r>
          <w:r>
            <w:rPr>
              <w:rFonts w:hint="eastAsia"/>
              <w:color w:val="auto"/>
              <w:highlight w:val="none"/>
            </w:rPr>
            <w:t>8.1 系统技术要求</w:t>
          </w:r>
          <w:r>
            <w:rPr>
              <w:color w:val="auto"/>
              <w:highlight w:val="none"/>
            </w:rPr>
            <w:tab/>
          </w:r>
          <w:r>
            <w:rPr>
              <w:color w:val="auto"/>
              <w:highlight w:val="none"/>
            </w:rPr>
            <w:fldChar w:fldCharType="begin"/>
          </w:r>
          <w:r>
            <w:rPr>
              <w:color w:val="auto"/>
              <w:highlight w:val="none"/>
            </w:rPr>
            <w:instrText xml:space="preserve"> PAGEREF _Toc6212 </w:instrText>
          </w:r>
          <w:r>
            <w:rPr>
              <w:color w:val="auto"/>
              <w:highlight w:val="none"/>
            </w:rPr>
            <w:fldChar w:fldCharType="separate"/>
          </w:r>
          <w:r>
            <w:rPr>
              <w:color w:val="auto"/>
              <w:highlight w:val="none"/>
            </w:rPr>
            <w:t>10</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_Toc14221 </w:instrText>
          </w:r>
          <w:r>
            <w:rPr>
              <w:rFonts w:ascii="宋体" w:hAnsi="宋体" w:eastAsia="宋体" w:cs="Times New Roman"/>
              <w:color w:val="auto"/>
              <w:kern w:val="0"/>
              <w:szCs w:val="28"/>
              <w:highlight w:val="none"/>
            </w:rPr>
            <w:fldChar w:fldCharType="separate"/>
          </w:r>
          <w:r>
            <w:rPr>
              <w:rFonts w:hint="eastAsia"/>
              <w:color w:val="auto"/>
              <w:highlight w:val="none"/>
            </w:rPr>
            <w:t>8.2 数据库技术要求</w:t>
          </w:r>
          <w:r>
            <w:rPr>
              <w:color w:val="auto"/>
              <w:highlight w:val="none"/>
            </w:rPr>
            <w:tab/>
          </w:r>
          <w:r>
            <w:rPr>
              <w:color w:val="auto"/>
              <w:highlight w:val="none"/>
            </w:rPr>
            <w:fldChar w:fldCharType="begin"/>
          </w:r>
          <w:r>
            <w:rPr>
              <w:color w:val="auto"/>
              <w:highlight w:val="none"/>
            </w:rPr>
            <w:instrText xml:space="preserve"> PAGEREF _Toc14221 </w:instrText>
          </w:r>
          <w:r>
            <w:rPr>
              <w:color w:val="auto"/>
              <w:highlight w:val="none"/>
            </w:rPr>
            <w:fldChar w:fldCharType="separate"/>
          </w:r>
          <w:r>
            <w:rPr>
              <w:color w:val="auto"/>
              <w:highlight w:val="none"/>
            </w:rPr>
            <w:t>10</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_Toc31653 </w:instrText>
          </w:r>
          <w:r>
            <w:rPr>
              <w:rFonts w:ascii="宋体" w:hAnsi="宋体" w:eastAsia="宋体" w:cs="Times New Roman"/>
              <w:color w:val="auto"/>
              <w:kern w:val="0"/>
              <w:szCs w:val="28"/>
              <w:highlight w:val="none"/>
            </w:rPr>
            <w:fldChar w:fldCharType="separate"/>
          </w:r>
          <w:r>
            <w:rPr>
              <w:rFonts w:hint="eastAsia"/>
              <w:color w:val="auto"/>
              <w:highlight w:val="none"/>
            </w:rPr>
            <w:t>8.3 接口要求</w:t>
          </w:r>
          <w:r>
            <w:rPr>
              <w:color w:val="auto"/>
              <w:highlight w:val="none"/>
            </w:rPr>
            <w:tab/>
          </w:r>
          <w:r>
            <w:rPr>
              <w:color w:val="auto"/>
              <w:highlight w:val="none"/>
            </w:rPr>
            <w:fldChar w:fldCharType="begin"/>
          </w:r>
          <w:r>
            <w:rPr>
              <w:color w:val="auto"/>
              <w:highlight w:val="none"/>
            </w:rPr>
            <w:instrText xml:space="preserve"> PAGEREF _Toc31653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_Toc25208 </w:instrText>
          </w:r>
          <w:r>
            <w:rPr>
              <w:rFonts w:ascii="宋体" w:hAnsi="宋体" w:eastAsia="宋体" w:cs="Times New Roman"/>
              <w:color w:val="auto"/>
              <w:kern w:val="0"/>
              <w:szCs w:val="28"/>
              <w:highlight w:val="none"/>
            </w:rPr>
            <w:fldChar w:fldCharType="separate"/>
          </w:r>
          <w:r>
            <w:rPr>
              <w:rFonts w:hint="eastAsia"/>
              <w:color w:val="auto"/>
              <w:highlight w:val="none"/>
            </w:rPr>
            <w:t>九、 项目实施</w:t>
          </w:r>
          <w:r>
            <w:rPr>
              <w:color w:val="auto"/>
              <w:highlight w:val="none"/>
            </w:rPr>
            <w:tab/>
          </w:r>
          <w:r>
            <w:rPr>
              <w:color w:val="auto"/>
              <w:highlight w:val="none"/>
            </w:rPr>
            <w:fldChar w:fldCharType="begin"/>
          </w:r>
          <w:r>
            <w:rPr>
              <w:color w:val="auto"/>
              <w:highlight w:val="none"/>
            </w:rPr>
            <w:instrText xml:space="preserve"> PAGEREF _Toc25208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_Toc2524 </w:instrText>
          </w:r>
          <w:r>
            <w:rPr>
              <w:rFonts w:ascii="宋体" w:hAnsi="宋体" w:eastAsia="宋体" w:cs="Times New Roman"/>
              <w:color w:val="auto"/>
              <w:kern w:val="0"/>
              <w:szCs w:val="28"/>
              <w:highlight w:val="none"/>
            </w:rPr>
            <w:fldChar w:fldCharType="separate"/>
          </w:r>
          <w:r>
            <w:rPr>
              <w:rFonts w:hint="eastAsia"/>
              <w:color w:val="auto"/>
              <w:highlight w:val="none"/>
            </w:rPr>
            <w:t>9.1项目实施工期</w:t>
          </w:r>
          <w:r>
            <w:rPr>
              <w:color w:val="auto"/>
              <w:highlight w:val="none"/>
            </w:rPr>
            <w:tab/>
          </w:r>
          <w:r>
            <w:rPr>
              <w:color w:val="auto"/>
              <w:highlight w:val="none"/>
            </w:rPr>
            <w:fldChar w:fldCharType="begin"/>
          </w:r>
          <w:r>
            <w:rPr>
              <w:color w:val="auto"/>
              <w:highlight w:val="none"/>
            </w:rPr>
            <w:instrText xml:space="preserve"> PAGEREF _Toc2524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_Toc24713 </w:instrText>
          </w:r>
          <w:r>
            <w:rPr>
              <w:rFonts w:ascii="宋体" w:hAnsi="宋体" w:eastAsia="宋体" w:cs="Times New Roman"/>
              <w:color w:val="auto"/>
              <w:kern w:val="0"/>
              <w:szCs w:val="28"/>
              <w:highlight w:val="none"/>
            </w:rPr>
            <w:fldChar w:fldCharType="separate"/>
          </w:r>
          <w:r>
            <w:rPr>
              <w:rFonts w:hint="eastAsia"/>
              <w:color w:val="auto"/>
              <w:highlight w:val="none"/>
            </w:rPr>
            <w:t>9.2实施人员要求</w:t>
          </w:r>
          <w:r>
            <w:rPr>
              <w:color w:val="auto"/>
              <w:highlight w:val="none"/>
            </w:rPr>
            <w:tab/>
          </w:r>
          <w:r>
            <w:rPr>
              <w:color w:val="auto"/>
              <w:highlight w:val="none"/>
            </w:rPr>
            <w:fldChar w:fldCharType="begin"/>
          </w:r>
          <w:r>
            <w:rPr>
              <w:color w:val="auto"/>
              <w:highlight w:val="none"/>
            </w:rPr>
            <w:instrText xml:space="preserve"> PAGEREF _Toc24713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8"/>
              <w:highlight w:val="none"/>
            </w:rPr>
            <w:fldChar w:fldCharType="end"/>
          </w:r>
        </w:p>
        <w:p>
          <w:pPr>
            <w:pStyle w:val="11"/>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_Toc5290 </w:instrText>
          </w:r>
          <w:r>
            <w:rPr>
              <w:rFonts w:ascii="宋体" w:hAnsi="宋体" w:eastAsia="宋体" w:cs="Times New Roman"/>
              <w:color w:val="auto"/>
              <w:kern w:val="0"/>
              <w:szCs w:val="28"/>
              <w:highlight w:val="none"/>
            </w:rPr>
            <w:fldChar w:fldCharType="separate"/>
          </w:r>
          <w:r>
            <w:rPr>
              <w:rFonts w:hint="eastAsia"/>
              <w:color w:val="auto"/>
              <w:highlight w:val="none"/>
            </w:rPr>
            <w:t>十、 项目商务要求</w:t>
          </w:r>
          <w:r>
            <w:rPr>
              <w:color w:val="auto"/>
              <w:highlight w:val="none"/>
            </w:rPr>
            <w:tab/>
          </w:r>
          <w:r>
            <w:rPr>
              <w:color w:val="auto"/>
              <w:highlight w:val="none"/>
            </w:rPr>
            <w:fldChar w:fldCharType="begin"/>
          </w:r>
          <w:r>
            <w:rPr>
              <w:color w:val="auto"/>
              <w:highlight w:val="none"/>
            </w:rPr>
            <w:instrText xml:space="preserve"> PAGEREF _Toc5290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_Toc13246 </w:instrText>
          </w:r>
          <w:r>
            <w:rPr>
              <w:rFonts w:ascii="宋体" w:hAnsi="宋体" w:eastAsia="宋体" w:cs="Times New Roman"/>
              <w:color w:val="auto"/>
              <w:kern w:val="0"/>
              <w:szCs w:val="28"/>
              <w:highlight w:val="none"/>
            </w:rPr>
            <w:fldChar w:fldCharType="separate"/>
          </w:r>
          <w:r>
            <w:rPr>
              <w:rFonts w:hint="eastAsia"/>
              <w:color w:val="auto"/>
              <w:highlight w:val="none"/>
            </w:rPr>
            <w:t>10.1 售后服务要求</w:t>
          </w:r>
          <w:r>
            <w:rPr>
              <w:color w:val="auto"/>
              <w:highlight w:val="none"/>
            </w:rPr>
            <w:tab/>
          </w:r>
          <w:r>
            <w:rPr>
              <w:color w:val="auto"/>
              <w:highlight w:val="none"/>
            </w:rPr>
            <w:fldChar w:fldCharType="begin"/>
          </w:r>
          <w:r>
            <w:rPr>
              <w:color w:val="auto"/>
              <w:highlight w:val="none"/>
            </w:rPr>
            <w:instrText xml:space="preserve"> PAGEREF _Toc13246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8"/>
              <w:highlight w:val="none"/>
            </w:rPr>
            <w:fldChar w:fldCharType="end"/>
          </w:r>
        </w:p>
        <w:p>
          <w:pPr>
            <w:pStyle w:val="8"/>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_Toc14411 </w:instrText>
          </w:r>
          <w:r>
            <w:rPr>
              <w:rFonts w:ascii="宋体" w:hAnsi="宋体" w:eastAsia="宋体" w:cs="Times New Roman"/>
              <w:color w:val="auto"/>
              <w:kern w:val="0"/>
              <w:szCs w:val="28"/>
              <w:highlight w:val="none"/>
            </w:rPr>
            <w:fldChar w:fldCharType="separate"/>
          </w:r>
          <w:r>
            <w:rPr>
              <w:rFonts w:hint="eastAsia"/>
              <w:color w:val="auto"/>
              <w:highlight w:val="none"/>
            </w:rPr>
            <w:t>10.1.1 免费维护服务要求</w:t>
          </w:r>
          <w:r>
            <w:rPr>
              <w:color w:val="auto"/>
              <w:highlight w:val="none"/>
            </w:rPr>
            <w:tab/>
          </w:r>
          <w:r>
            <w:rPr>
              <w:color w:val="auto"/>
              <w:highlight w:val="none"/>
            </w:rPr>
            <w:fldChar w:fldCharType="begin"/>
          </w:r>
          <w:r>
            <w:rPr>
              <w:color w:val="auto"/>
              <w:highlight w:val="none"/>
            </w:rPr>
            <w:instrText xml:space="preserve"> PAGEREF _Toc14411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8"/>
              <w:highlight w:val="none"/>
            </w:rPr>
            <w:fldChar w:fldCharType="end"/>
          </w:r>
        </w:p>
        <w:p>
          <w:pPr>
            <w:pStyle w:val="8"/>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_Toc2229 </w:instrText>
          </w:r>
          <w:r>
            <w:rPr>
              <w:rFonts w:ascii="宋体" w:hAnsi="宋体" w:eastAsia="宋体" w:cs="Times New Roman"/>
              <w:color w:val="auto"/>
              <w:kern w:val="0"/>
              <w:szCs w:val="28"/>
              <w:highlight w:val="none"/>
            </w:rPr>
            <w:fldChar w:fldCharType="separate"/>
          </w:r>
          <w:r>
            <w:rPr>
              <w:rFonts w:hint="eastAsia"/>
              <w:color w:val="auto"/>
              <w:highlight w:val="none"/>
            </w:rPr>
            <w:t>10.1.2 绩效咨询售后服务范围</w:t>
          </w:r>
          <w:r>
            <w:rPr>
              <w:color w:val="auto"/>
              <w:highlight w:val="none"/>
            </w:rPr>
            <w:tab/>
          </w:r>
          <w:r>
            <w:rPr>
              <w:color w:val="auto"/>
              <w:highlight w:val="none"/>
            </w:rPr>
            <w:fldChar w:fldCharType="begin"/>
          </w:r>
          <w:r>
            <w:rPr>
              <w:color w:val="auto"/>
              <w:highlight w:val="none"/>
            </w:rPr>
            <w:instrText xml:space="preserve"> PAGEREF _Toc2229 </w:instrText>
          </w:r>
          <w:r>
            <w:rPr>
              <w:color w:val="auto"/>
              <w:highlight w:val="none"/>
            </w:rPr>
            <w:fldChar w:fldCharType="separate"/>
          </w:r>
          <w:r>
            <w:rPr>
              <w:color w:val="auto"/>
              <w:highlight w:val="none"/>
            </w:rPr>
            <w:t>13</w:t>
          </w:r>
          <w:r>
            <w:rPr>
              <w:color w:val="auto"/>
              <w:highlight w:val="none"/>
            </w:rPr>
            <w:fldChar w:fldCharType="end"/>
          </w:r>
          <w:r>
            <w:rPr>
              <w:rFonts w:ascii="宋体" w:hAnsi="宋体" w:eastAsia="宋体" w:cs="Times New Roman"/>
              <w:color w:val="auto"/>
              <w:kern w:val="0"/>
              <w:szCs w:val="28"/>
              <w:highlight w:val="none"/>
            </w:rPr>
            <w:fldChar w:fldCharType="end"/>
          </w:r>
        </w:p>
        <w:p>
          <w:pPr>
            <w:pStyle w:val="8"/>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_Toc13042 </w:instrText>
          </w:r>
          <w:r>
            <w:rPr>
              <w:rFonts w:ascii="宋体" w:hAnsi="宋体" w:eastAsia="宋体" w:cs="Times New Roman"/>
              <w:color w:val="auto"/>
              <w:kern w:val="0"/>
              <w:szCs w:val="28"/>
              <w:highlight w:val="none"/>
            </w:rPr>
            <w:fldChar w:fldCharType="separate"/>
          </w:r>
          <w:r>
            <w:rPr>
              <w:rFonts w:hint="eastAsia"/>
              <w:color w:val="auto"/>
              <w:highlight w:val="none"/>
            </w:rPr>
            <w:t>10.1.3 绩效管理系统售后服务范围</w:t>
          </w:r>
          <w:r>
            <w:rPr>
              <w:color w:val="auto"/>
              <w:highlight w:val="none"/>
            </w:rPr>
            <w:tab/>
          </w:r>
          <w:r>
            <w:rPr>
              <w:color w:val="auto"/>
              <w:highlight w:val="none"/>
            </w:rPr>
            <w:fldChar w:fldCharType="begin"/>
          </w:r>
          <w:r>
            <w:rPr>
              <w:color w:val="auto"/>
              <w:highlight w:val="none"/>
            </w:rPr>
            <w:instrText xml:space="preserve"> PAGEREF _Toc13042 </w:instrText>
          </w:r>
          <w:r>
            <w:rPr>
              <w:color w:val="auto"/>
              <w:highlight w:val="none"/>
            </w:rPr>
            <w:fldChar w:fldCharType="separate"/>
          </w:r>
          <w:r>
            <w:rPr>
              <w:color w:val="auto"/>
              <w:highlight w:val="none"/>
            </w:rPr>
            <w:t>13</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_Toc188 </w:instrText>
          </w:r>
          <w:r>
            <w:rPr>
              <w:rFonts w:ascii="宋体" w:hAnsi="宋体" w:eastAsia="宋体" w:cs="Times New Roman"/>
              <w:color w:val="auto"/>
              <w:kern w:val="0"/>
              <w:szCs w:val="28"/>
              <w:highlight w:val="none"/>
            </w:rPr>
            <w:fldChar w:fldCharType="separate"/>
          </w:r>
          <w:r>
            <w:rPr>
              <w:rFonts w:hint="eastAsia"/>
              <w:color w:val="auto"/>
              <w:highlight w:val="none"/>
            </w:rPr>
            <w:t>10.2 付款方式</w:t>
          </w:r>
          <w:r>
            <w:rPr>
              <w:color w:val="auto"/>
              <w:highlight w:val="none"/>
            </w:rPr>
            <w:tab/>
          </w:r>
          <w:r>
            <w:rPr>
              <w:color w:val="auto"/>
              <w:highlight w:val="none"/>
            </w:rPr>
            <w:fldChar w:fldCharType="begin"/>
          </w:r>
          <w:r>
            <w:rPr>
              <w:color w:val="auto"/>
              <w:highlight w:val="none"/>
            </w:rPr>
            <w:instrText xml:space="preserve"> PAGEREF _Toc188 </w:instrText>
          </w:r>
          <w:r>
            <w:rPr>
              <w:color w:val="auto"/>
              <w:highlight w:val="none"/>
            </w:rPr>
            <w:fldChar w:fldCharType="separate"/>
          </w:r>
          <w:r>
            <w:rPr>
              <w:color w:val="auto"/>
              <w:highlight w:val="none"/>
            </w:rPr>
            <w:t>13</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_Toc5391 </w:instrText>
          </w:r>
          <w:r>
            <w:rPr>
              <w:rFonts w:ascii="宋体" w:hAnsi="宋体" w:eastAsia="宋体" w:cs="Times New Roman"/>
              <w:color w:val="auto"/>
              <w:kern w:val="0"/>
              <w:szCs w:val="28"/>
              <w:highlight w:val="none"/>
            </w:rPr>
            <w:fldChar w:fldCharType="separate"/>
          </w:r>
          <w:r>
            <w:rPr>
              <w:rFonts w:hint="eastAsia"/>
              <w:color w:val="auto"/>
              <w:highlight w:val="none"/>
            </w:rPr>
            <w:t>10.3 违约责任</w:t>
          </w:r>
          <w:r>
            <w:rPr>
              <w:color w:val="auto"/>
              <w:highlight w:val="none"/>
            </w:rPr>
            <w:tab/>
          </w:r>
          <w:r>
            <w:rPr>
              <w:color w:val="auto"/>
              <w:highlight w:val="none"/>
            </w:rPr>
            <w:fldChar w:fldCharType="begin"/>
          </w:r>
          <w:r>
            <w:rPr>
              <w:color w:val="auto"/>
              <w:highlight w:val="none"/>
            </w:rPr>
            <w:instrText xml:space="preserve"> PAGEREF _Toc5391 </w:instrText>
          </w:r>
          <w:r>
            <w:rPr>
              <w:color w:val="auto"/>
              <w:highlight w:val="none"/>
            </w:rPr>
            <w:fldChar w:fldCharType="separate"/>
          </w:r>
          <w:r>
            <w:rPr>
              <w:color w:val="auto"/>
              <w:highlight w:val="none"/>
            </w:rPr>
            <w:t>14</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_Toc30062 </w:instrText>
          </w:r>
          <w:r>
            <w:rPr>
              <w:rFonts w:ascii="宋体" w:hAnsi="宋体" w:eastAsia="宋体" w:cs="Times New Roman"/>
              <w:color w:val="auto"/>
              <w:kern w:val="0"/>
              <w:szCs w:val="28"/>
              <w:highlight w:val="none"/>
            </w:rPr>
            <w:fldChar w:fldCharType="separate"/>
          </w:r>
          <w:r>
            <w:rPr>
              <w:rFonts w:hint="eastAsia"/>
              <w:color w:val="auto"/>
              <w:highlight w:val="none"/>
            </w:rPr>
            <w:t>10.4 保密、廉洁协议</w:t>
          </w:r>
          <w:r>
            <w:rPr>
              <w:color w:val="auto"/>
              <w:highlight w:val="none"/>
            </w:rPr>
            <w:tab/>
          </w:r>
          <w:r>
            <w:rPr>
              <w:color w:val="auto"/>
              <w:highlight w:val="none"/>
            </w:rPr>
            <w:fldChar w:fldCharType="begin"/>
          </w:r>
          <w:r>
            <w:rPr>
              <w:color w:val="auto"/>
              <w:highlight w:val="none"/>
            </w:rPr>
            <w:instrText xml:space="preserve"> PAGEREF _Toc30062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8"/>
              <w:highlight w:val="none"/>
            </w:rPr>
            <w:fldChar w:fldCharType="end"/>
          </w:r>
        </w:p>
        <w:p>
          <w:pPr>
            <w:pStyle w:val="12"/>
            <w:tabs>
              <w:tab w:val="right" w:leader="dot" w:pos="9460"/>
            </w:tabs>
            <w:rPr>
              <w:color w:val="auto"/>
              <w:highlight w:val="none"/>
            </w:rPr>
          </w:pPr>
          <w:r>
            <w:rPr>
              <w:rFonts w:ascii="宋体" w:hAnsi="宋体" w:eastAsia="宋体" w:cs="Times New Roman"/>
              <w:color w:val="auto"/>
              <w:kern w:val="0"/>
              <w:szCs w:val="28"/>
              <w:highlight w:val="none"/>
            </w:rPr>
            <w:fldChar w:fldCharType="begin"/>
          </w:r>
          <w:r>
            <w:rPr>
              <w:rFonts w:ascii="宋体" w:hAnsi="宋体" w:eastAsia="宋体" w:cs="Times New Roman"/>
              <w:color w:val="auto"/>
              <w:kern w:val="0"/>
              <w:szCs w:val="28"/>
              <w:highlight w:val="none"/>
            </w:rPr>
            <w:instrText xml:space="preserve"> HYPERLINK \l _Toc30970 </w:instrText>
          </w:r>
          <w:r>
            <w:rPr>
              <w:rFonts w:ascii="宋体" w:hAnsi="宋体" w:eastAsia="宋体" w:cs="Times New Roman"/>
              <w:color w:val="auto"/>
              <w:kern w:val="0"/>
              <w:szCs w:val="28"/>
              <w:highlight w:val="none"/>
            </w:rPr>
            <w:fldChar w:fldCharType="separate"/>
          </w:r>
          <w:r>
            <w:rPr>
              <w:rFonts w:hint="eastAsia"/>
              <w:color w:val="auto"/>
              <w:highlight w:val="none"/>
            </w:rPr>
            <w:t>10.5 报价要求</w:t>
          </w:r>
          <w:r>
            <w:rPr>
              <w:color w:val="auto"/>
              <w:highlight w:val="none"/>
            </w:rPr>
            <w:tab/>
          </w:r>
          <w:r>
            <w:rPr>
              <w:color w:val="auto"/>
              <w:highlight w:val="none"/>
            </w:rPr>
            <w:fldChar w:fldCharType="begin"/>
          </w:r>
          <w:r>
            <w:rPr>
              <w:color w:val="auto"/>
              <w:highlight w:val="none"/>
            </w:rPr>
            <w:instrText xml:space="preserve"> PAGEREF _Toc30970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8"/>
              <w:highlight w:val="none"/>
            </w:rPr>
            <w:fldChar w:fldCharType="end"/>
          </w:r>
        </w:p>
        <w:p>
          <w:pPr>
            <w:rPr>
              <w:rFonts w:ascii="宋体" w:hAnsi="宋体" w:eastAsia="宋体"/>
              <w:color w:val="auto"/>
              <w:sz w:val="28"/>
              <w:szCs w:val="28"/>
              <w:highlight w:val="none"/>
            </w:rPr>
          </w:pPr>
          <w:r>
            <w:rPr>
              <w:rFonts w:ascii="宋体" w:hAnsi="宋体" w:eastAsia="宋体" w:cs="Times New Roman"/>
              <w:color w:val="auto"/>
              <w:kern w:val="0"/>
              <w:szCs w:val="28"/>
              <w:highlight w:val="none"/>
            </w:rPr>
            <w:fldChar w:fldCharType="end"/>
          </w:r>
        </w:p>
      </w:sdtContent>
    </w:sdt>
    <w:p>
      <w:pPr>
        <w:pStyle w:val="2"/>
        <w:rPr>
          <w:rFonts w:ascii="宋体" w:hAnsi="宋体" w:eastAsia="宋体"/>
          <w:color w:val="auto"/>
          <w:kern w:val="44"/>
          <w:sz w:val="28"/>
          <w:szCs w:val="28"/>
          <w:highlight w:val="none"/>
        </w:rPr>
      </w:pPr>
    </w:p>
    <w:bookmarkEnd w:id="0"/>
    <w:p>
      <w:pPr>
        <w:pStyle w:val="3"/>
        <w:rPr>
          <w:color w:val="auto"/>
          <w:highlight w:val="none"/>
          <w:shd w:val="clear" w:color="auto" w:fill="FFFFFF"/>
        </w:rPr>
        <w:sectPr>
          <w:footerReference r:id="rId3" w:type="default"/>
          <w:pgSz w:w="11906" w:h="16838"/>
          <w:pgMar w:top="820" w:right="1066" w:bottom="1440" w:left="1380" w:header="851" w:footer="992" w:gutter="0"/>
          <w:cols w:space="425" w:num="1"/>
          <w:docGrid w:type="lines" w:linePitch="312" w:charSpace="0"/>
        </w:sectPr>
      </w:pPr>
    </w:p>
    <w:p>
      <w:pPr>
        <w:pStyle w:val="3"/>
        <w:rPr>
          <w:color w:val="auto"/>
          <w:highlight w:val="none"/>
          <w:shd w:val="clear" w:color="auto" w:fill="FFFFFF"/>
        </w:rPr>
      </w:pPr>
      <w:bookmarkStart w:id="1" w:name="_Toc9239"/>
      <w:r>
        <w:rPr>
          <w:rFonts w:hint="eastAsia"/>
          <w:color w:val="auto"/>
          <w:highlight w:val="none"/>
          <w:shd w:val="clear" w:color="auto" w:fill="FFFFFF"/>
        </w:rPr>
        <w:t>项目名称</w:t>
      </w:r>
      <w:bookmarkEnd w:id="1"/>
    </w:p>
    <w:p>
      <w:pPr>
        <w:pStyle w:val="5"/>
        <w:ind w:firstLine="480"/>
        <w:rPr>
          <w:color w:val="auto"/>
          <w:highlight w:val="none"/>
        </w:rPr>
      </w:pPr>
      <w:r>
        <w:rPr>
          <w:rFonts w:hint="eastAsia"/>
          <w:color w:val="auto"/>
          <w:highlight w:val="none"/>
        </w:rPr>
        <w:t>柳州市工人医院绩效管理系统升级</w:t>
      </w:r>
    </w:p>
    <w:p>
      <w:pPr>
        <w:pStyle w:val="3"/>
        <w:rPr>
          <w:color w:val="auto"/>
          <w:highlight w:val="none"/>
          <w:shd w:val="clear" w:color="auto" w:fill="FFFFFF"/>
        </w:rPr>
      </w:pPr>
      <w:bookmarkStart w:id="2" w:name="_Toc944"/>
      <w:r>
        <w:rPr>
          <w:rFonts w:hint="eastAsia"/>
          <w:color w:val="auto"/>
          <w:highlight w:val="none"/>
          <w:shd w:val="clear" w:color="auto" w:fill="FFFFFF"/>
        </w:rPr>
        <w:t>项目政策背景</w:t>
      </w:r>
      <w:bookmarkEnd w:id="2"/>
    </w:p>
    <w:p>
      <w:pPr>
        <w:pStyle w:val="5"/>
        <w:ind w:firstLine="480"/>
        <w:rPr>
          <w:rFonts w:cs="Times New Roman"/>
          <w:color w:val="auto"/>
          <w:highlight w:val="none"/>
        </w:rPr>
      </w:pPr>
      <w:r>
        <w:rPr>
          <w:rFonts w:hint="eastAsia"/>
          <w:color w:val="auto"/>
          <w:highlight w:val="none"/>
        </w:rPr>
        <w:t>随着我国医改工作的全面开展及纵深推进，医保支付政策的持续调整，完善公立医院分配制度，推进公立医院绩效改革也势在必行。</w:t>
      </w:r>
    </w:p>
    <w:p>
      <w:pPr>
        <w:pStyle w:val="5"/>
        <w:ind w:firstLine="480"/>
        <w:rPr>
          <w:color w:val="auto"/>
          <w:highlight w:val="none"/>
        </w:rPr>
      </w:pPr>
      <w:r>
        <w:rPr>
          <w:color w:val="auto"/>
          <w:highlight w:val="none"/>
        </w:rPr>
        <w:t>2020</w:t>
      </w:r>
      <w:r>
        <w:rPr>
          <w:rFonts w:hint="eastAsia"/>
          <w:color w:val="auto"/>
          <w:highlight w:val="none"/>
        </w:rPr>
        <w:t>年国务院办公厅《国务院办公厅关于印发深化医药卫生体制改革</w:t>
      </w:r>
      <w:r>
        <w:rPr>
          <w:color w:val="auto"/>
          <w:highlight w:val="none"/>
        </w:rPr>
        <w:t>2020</w:t>
      </w:r>
      <w:r>
        <w:rPr>
          <w:rFonts w:hint="eastAsia"/>
          <w:color w:val="auto"/>
          <w:highlight w:val="none"/>
        </w:rPr>
        <w:t>年下半年重点工作任务的通知》（国办发〔</w:t>
      </w:r>
      <w:r>
        <w:rPr>
          <w:color w:val="auto"/>
          <w:highlight w:val="none"/>
        </w:rPr>
        <w:t>2020</w:t>
      </w:r>
      <w:r>
        <w:rPr>
          <w:rFonts w:hint="eastAsia"/>
          <w:color w:val="auto"/>
          <w:highlight w:val="none"/>
        </w:rPr>
        <w:t>〕</w:t>
      </w:r>
      <w:r>
        <w:rPr>
          <w:color w:val="auto"/>
          <w:highlight w:val="none"/>
        </w:rPr>
        <w:t>25</w:t>
      </w:r>
      <w:r>
        <w:rPr>
          <w:rFonts w:hint="eastAsia"/>
          <w:color w:val="auto"/>
          <w:highlight w:val="none"/>
        </w:rPr>
        <w:t>号），提出要健全医疗卫生机构和医务人员绩效考核机制。推进建立健全现代医院管理制度试点，深入开展公立医院综合改革示范和绩效评价工作。深化薪酬制度和编制管理改革。</w:t>
      </w:r>
      <w:r>
        <w:rPr>
          <w:color w:val="auto"/>
          <w:highlight w:val="none"/>
        </w:rPr>
        <w:t>2021</w:t>
      </w:r>
      <w:r>
        <w:rPr>
          <w:rFonts w:hint="eastAsia"/>
          <w:color w:val="auto"/>
          <w:highlight w:val="none"/>
        </w:rPr>
        <w:t>年工资福利司下发《关于深化公立医院薪酬制度改革的指导意见》（人社部发〔</w:t>
      </w:r>
      <w:r>
        <w:rPr>
          <w:color w:val="auto"/>
          <w:highlight w:val="none"/>
        </w:rPr>
        <w:t>2021</w:t>
      </w:r>
      <w:r>
        <w:rPr>
          <w:rFonts w:hint="eastAsia"/>
          <w:color w:val="auto"/>
          <w:highlight w:val="none"/>
        </w:rPr>
        <w:t>〕</w:t>
      </w:r>
      <w:r>
        <w:rPr>
          <w:color w:val="auto"/>
          <w:highlight w:val="none"/>
        </w:rPr>
        <w:t>52</w:t>
      </w:r>
      <w:r>
        <w:rPr>
          <w:rFonts w:hint="eastAsia"/>
          <w:color w:val="auto"/>
          <w:highlight w:val="none"/>
        </w:rPr>
        <w:t>号）中指出坚持以人民为中心的发展理念，适应现代医院管理制度需要，与医疗、医保、医药联动改革相衔接，落实“两个允许”要求，实施以增加知识价值为导向的分配政策，建立适应我国医疗行业特点的公立医院薪酬制度，强化公立医院公益属性，调动医院和医务人员积极性，不断提高医疗服务质量和水平。2</w:t>
      </w:r>
      <w:r>
        <w:rPr>
          <w:color w:val="auto"/>
          <w:highlight w:val="none"/>
        </w:rPr>
        <w:t>021</w:t>
      </w:r>
      <w:r>
        <w:rPr>
          <w:rFonts w:hint="eastAsia"/>
          <w:color w:val="auto"/>
          <w:highlight w:val="none"/>
        </w:rPr>
        <w:t>年人力资源社会保障部、财政部、国家卫生健康委、国家医保局、国家中医药局联合发布的《关于深化公立医院薪酬制度改革的指导意见》（人社部发〔</w:t>
      </w:r>
      <w:r>
        <w:rPr>
          <w:color w:val="auto"/>
          <w:highlight w:val="none"/>
        </w:rPr>
        <w:t>2021</w:t>
      </w:r>
      <w:r>
        <w:rPr>
          <w:rFonts w:hint="eastAsia"/>
          <w:color w:val="auto"/>
          <w:highlight w:val="none"/>
        </w:rPr>
        <w:t>〕</w:t>
      </w:r>
      <w:r>
        <w:rPr>
          <w:color w:val="auto"/>
          <w:highlight w:val="none"/>
        </w:rPr>
        <w:t>52</w:t>
      </w:r>
      <w:r>
        <w:rPr>
          <w:rFonts w:hint="eastAsia"/>
          <w:color w:val="auto"/>
          <w:highlight w:val="none"/>
        </w:rPr>
        <w:t>号）中强调公立医院内部分配应充分体现医、护、技、药、管等岗位差异，兼顾不同科室之间的平衡，向关键和紧缺岗位、高风险和高强度岗位、高层次人才、业务骨干和作出突出成绩的医务人员倾斜。</w:t>
      </w:r>
      <w:r>
        <w:rPr>
          <w:color w:val="auto"/>
          <w:highlight w:val="none"/>
        </w:rPr>
        <w:t>2021</w:t>
      </w:r>
      <w:r>
        <w:rPr>
          <w:rFonts w:hint="eastAsia"/>
          <w:color w:val="auto"/>
          <w:highlight w:val="none"/>
        </w:rPr>
        <w:t>年国务院办公厅发布的《关于推动公立医院高质量发展的意见》（国办发〔</w:t>
      </w:r>
      <w:r>
        <w:rPr>
          <w:color w:val="auto"/>
          <w:highlight w:val="none"/>
        </w:rPr>
        <w:t>2021</w:t>
      </w:r>
      <w:r>
        <w:rPr>
          <w:rFonts w:hint="eastAsia"/>
          <w:color w:val="auto"/>
          <w:highlight w:val="none"/>
        </w:rPr>
        <w:t>〕</w:t>
      </w:r>
      <w:r>
        <w:rPr>
          <w:color w:val="auto"/>
          <w:highlight w:val="none"/>
        </w:rPr>
        <w:t>18</w:t>
      </w:r>
      <w:r>
        <w:rPr>
          <w:rFonts w:hint="eastAsia"/>
          <w:color w:val="auto"/>
          <w:highlight w:val="none"/>
        </w:rPr>
        <w:t>号）提出，坚持和强化公益性导向，全面开展公立医院绩效考核，持续优化绩效考核指标体系，重点考核医疗质量、运营效率、持续发展、满意度评价等。改革公立医院内部绩效考核办法，以聘用合同为依据，以岗位职责完成情况为重点，将考核结果与薪酬分配挂钩。</w:t>
      </w:r>
    </w:p>
    <w:p>
      <w:pPr>
        <w:pStyle w:val="5"/>
        <w:ind w:firstLine="480"/>
        <w:rPr>
          <w:color w:val="auto"/>
          <w:highlight w:val="none"/>
        </w:rPr>
      </w:pPr>
      <w:r>
        <w:rPr>
          <w:rFonts w:hint="eastAsia"/>
          <w:color w:val="auto"/>
          <w:highlight w:val="none"/>
        </w:rPr>
        <w:t>因此，不管是国家政策要求、医保付费的改变及医院内在管理需求，都倒逼医院进行绩效改革，根据医院战略发展目标统筹考虑医务人员的工作量、服务质量、医疗技术含量和医保结算效益，通过搭建</w:t>
      </w:r>
      <w:r>
        <w:rPr>
          <w:color w:val="auto"/>
          <w:highlight w:val="none"/>
        </w:rPr>
        <w:t>RBRVS+DRG绩效管理体系</w:t>
      </w:r>
      <w:r>
        <w:rPr>
          <w:rFonts w:hint="eastAsia"/>
          <w:color w:val="auto"/>
          <w:highlight w:val="none"/>
        </w:rPr>
        <w:t>，充分调动员工的积极性、主动性和创造性，树立正确的医院激励导向和医务人员价值导向，促进医院健康良性发展。</w:t>
      </w:r>
    </w:p>
    <w:p>
      <w:pPr>
        <w:ind w:firstLine="560" w:firstLineChars="200"/>
        <w:rPr>
          <w:color w:val="auto"/>
          <w:highlight w:val="none"/>
        </w:rPr>
      </w:pPr>
      <w:r>
        <w:rPr>
          <w:rFonts w:hint="eastAsia"/>
          <w:color w:val="auto"/>
          <w:sz w:val="28"/>
          <w:szCs w:val="28"/>
          <w:highlight w:val="none"/>
        </w:rPr>
        <w:t>我院绩效系统1.0版于2019年9月上线，随着国家政策、医院管理等需求升级，现需升级至绩效系统2.0版本。</w:t>
      </w:r>
    </w:p>
    <w:p>
      <w:pPr>
        <w:pStyle w:val="3"/>
        <w:rPr>
          <w:color w:val="auto"/>
          <w:highlight w:val="none"/>
        </w:rPr>
      </w:pPr>
      <w:bookmarkStart w:id="3" w:name="_Toc25129"/>
      <w:r>
        <w:rPr>
          <w:rFonts w:hint="eastAsia"/>
          <w:color w:val="auto"/>
          <w:highlight w:val="none"/>
        </w:rPr>
        <w:t>项目建设原则</w:t>
      </w:r>
      <w:bookmarkEnd w:id="3"/>
    </w:p>
    <w:p>
      <w:pPr>
        <w:pStyle w:val="5"/>
        <w:ind w:firstLine="482"/>
        <w:rPr>
          <w:b/>
          <w:bCs/>
          <w:color w:val="auto"/>
          <w:highlight w:val="none"/>
        </w:rPr>
      </w:pPr>
      <w:r>
        <w:rPr>
          <w:rFonts w:hint="eastAsia"/>
          <w:b/>
          <w:bCs/>
          <w:color w:val="auto"/>
          <w:highlight w:val="none"/>
        </w:rPr>
        <w:t>1</w:t>
      </w:r>
      <w:r>
        <w:rPr>
          <w:b/>
          <w:bCs/>
          <w:color w:val="auto"/>
          <w:highlight w:val="none"/>
        </w:rPr>
        <w:t>.</w:t>
      </w:r>
      <w:r>
        <w:rPr>
          <w:rFonts w:hint="eastAsia"/>
          <w:b/>
          <w:bCs/>
          <w:color w:val="auto"/>
          <w:highlight w:val="none"/>
        </w:rPr>
        <w:t>规范性原则</w:t>
      </w:r>
    </w:p>
    <w:p>
      <w:pPr>
        <w:pStyle w:val="5"/>
        <w:ind w:firstLine="480"/>
        <w:rPr>
          <w:color w:val="auto"/>
          <w:highlight w:val="none"/>
        </w:rPr>
      </w:pPr>
      <w:r>
        <w:rPr>
          <w:rFonts w:hint="eastAsia"/>
          <w:color w:val="auto"/>
          <w:highlight w:val="none"/>
        </w:rPr>
        <w:t>所使用的绩效方案应当符合医改的各项政策要求，严禁给医务人员设定创收指标，医务人员薪酬不得与药品、耗材、医学检查等业务收入挂钩，将医务人员的工资收入与医疗服务的数量、质量、技术难度、成本控制、群众满意度等挂钩，做到多劳多得、优绩优酬、合理拉开收入差距。</w:t>
      </w:r>
    </w:p>
    <w:p>
      <w:pPr>
        <w:pStyle w:val="5"/>
        <w:ind w:firstLine="482"/>
        <w:rPr>
          <w:b/>
          <w:bCs/>
          <w:color w:val="auto"/>
          <w:highlight w:val="none"/>
        </w:rPr>
      </w:pPr>
      <w:r>
        <w:rPr>
          <w:rFonts w:hint="eastAsia"/>
          <w:b/>
          <w:bCs/>
          <w:color w:val="auto"/>
          <w:highlight w:val="none"/>
        </w:rPr>
        <w:t>2</w:t>
      </w:r>
      <w:r>
        <w:rPr>
          <w:b/>
          <w:bCs/>
          <w:color w:val="auto"/>
          <w:highlight w:val="none"/>
        </w:rPr>
        <w:t>.</w:t>
      </w:r>
      <w:r>
        <w:rPr>
          <w:rFonts w:hint="eastAsia"/>
          <w:b/>
          <w:bCs/>
          <w:color w:val="auto"/>
          <w:highlight w:val="none"/>
        </w:rPr>
        <w:t>先进性原则</w:t>
      </w:r>
    </w:p>
    <w:p>
      <w:pPr>
        <w:pStyle w:val="5"/>
        <w:ind w:firstLine="480"/>
        <w:rPr>
          <w:color w:val="auto"/>
          <w:highlight w:val="none"/>
        </w:rPr>
      </w:pPr>
      <w:r>
        <w:rPr>
          <w:rFonts w:hint="eastAsia"/>
          <w:color w:val="auto"/>
          <w:highlight w:val="none"/>
        </w:rPr>
        <w:t>绩效管理方案采用国际通行的医务人员劳动价值评价方法，在国内有成功的应用示范用户，进行方案验证的软件系统具有先进的技术水平，有较高的性能。</w:t>
      </w:r>
    </w:p>
    <w:p>
      <w:pPr>
        <w:pStyle w:val="5"/>
        <w:ind w:firstLine="482"/>
        <w:rPr>
          <w:b/>
          <w:bCs/>
          <w:color w:val="auto"/>
          <w:highlight w:val="none"/>
        </w:rPr>
      </w:pPr>
      <w:r>
        <w:rPr>
          <w:rFonts w:hint="eastAsia"/>
          <w:b/>
          <w:bCs/>
          <w:color w:val="auto"/>
          <w:highlight w:val="none"/>
        </w:rPr>
        <w:t>3</w:t>
      </w:r>
      <w:r>
        <w:rPr>
          <w:b/>
          <w:bCs/>
          <w:color w:val="auto"/>
          <w:highlight w:val="none"/>
        </w:rPr>
        <w:t>.</w:t>
      </w:r>
      <w:r>
        <w:rPr>
          <w:rFonts w:hint="eastAsia"/>
          <w:b/>
          <w:bCs/>
          <w:color w:val="auto"/>
          <w:highlight w:val="none"/>
        </w:rPr>
        <w:t>技术方法本地化原则</w:t>
      </w:r>
    </w:p>
    <w:p>
      <w:pPr>
        <w:pStyle w:val="5"/>
        <w:ind w:firstLine="480"/>
        <w:rPr>
          <w:color w:val="auto"/>
          <w:highlight w:val="none"/>
        </w:rPr>
      </w:pPr>
      <w:r>
        <w:rPr>
          <w:rFonts w:hint="eastAsia"/>
          <w:color w:val="auto"/>
          <w:highlight w:val="none"/>
        </w:rPr>
        <w:t>由于各家医院面临的绩效问题不一致，绩效管理应高度个性化，投标人应当提供绩效管理咨询服务，在借鉴国际先进的绩效管理理论和其他医院成功实践的基础上，结合医院实际情况，在本院进行本地化研究，使之适合本院的发展阶段，并能为未来发展建立基础绩效管理架构。项目团队应配置专业的咨询顾问，将RBRVS点数本土化，并依据医院的业务特点进行修正。</w:t>
      </w:r>
    </w:p>
    <w:p>
      <w:pPr>
        <w:pStyle w:val="5"/>
        <w:ind w:firstLine="482"/>
        <w:rPr>
          <w:b/>
          <w:bCs/>
          <w:color w:val="auto"/>
          <w:highlight w:val="none"/>
        </w:rPr>
      </w:pPr>
      <w:r>
        <w:rPr>
          <w:rFonts w:hint="eastAsia"/>
          <w:b/>
          <w:bCs/>
          <w:color w:val="auto"/>
          <w:highlight w:val="none"/>
        </w:rPr>
        <w:t>4</w:t>
      </w:r>
      <w:r>
        <w:rPr>
          <w:b/>
          <w:bCs/>
          <w:color w:val="auto"/>
          <w:highlight w:val="none"/>
        </w:rPr>
        <w:t>.</w:t>
      </w:r>
      <w:r>
        <w:rPr>
          <w:rFonts w:hint="eastAsia"/>
          <w:b/>
          <w:bCs/>
          <w:color w:val="auto"/>
          <w:highlight w:val="none"/>
        </w:rPr>
        <w:t>安全保密性原则</w:t>
      </w:r>
    </w:p>
    <w:p>
      <w:pPr>
        <w:pStyle w:val="5"/>
        <w:ind w:firstLine="480"/>
        <w:rPr>
          <w:color w:val="auto"/>
          <w:highlight w:val="none"/>
        </w:rPr>
      </w:pPr>
      <w:r>
        <w:rPr>
          <w:rFonts w:hint="eastAsia"/>
          <w:color w:val="auto"/>
          <w:highlight w:val="none"/>
        </w:rPr>
        <w:t>本项目涉及医院多个内部业务系统数据，系统必须提供完善的安全性控制，分别对不同业务领域、不同级别层次的用户提供其权限许可范围的分析信息和使用权限等，确保整个系统的安全运行。</w:t>
      </w:r>
    </w:p>
    <w:p>
      <w:pPr>
        <w:pStyle w:val="3"/>
        <w:rPr>
          <w:color w:val="auto"/>
          <w:highlight w:val="none"/>
        </w:rPr>
      </w:pPr>
      <w:bookmarkStart w:id="4" w:name="_Toc225"/>
      <w:r>
        <w:rPr>
          <w:rFonts w:hint="eastAsia"/>
          <w:color w:val="auto"/>
          <w:highlight w:val="none"/>
        </w:rPr>
        <w:t>项目建设总体要求</w:t>
      </w:r>
      <w:bookmarkEnd w:id="4"/>
    </w:p>
    <w:p>
      <w:pPr>
        <w:pStyle w:val="5"/>
        <w:ind w:firstLine="566" w:firstLineChars="236"/>
        <w:rPr>
          <w:color w:val="auto"/>
          <w:highlight w:val="none"/>
        </w:rPr>
      </w:pPr>
      <w:r>
        <w:rPr>
          <w:rFonts w:hint="eastAsia"/>
          <w:color w:val="auto"/>
          <w:highlight w:val="none"/>
        </w:rPr>
        <w:t>本项目要求基于医院现有的综合运营管理平台完成医院绩效管理体系的升级和建设。</w:t>
      </w:r>
    </w:p>
    <w:p>
      <w:pPr>
        <w:pStyle w:val="5"/>
        <w:ind w:firstLine="480"/>
        <w:rPr>
          <w:color w:val="auto"/>
          <w:highlight w:val="none"/>
        </w:rPr>
      </w:pPr>
      <w:r>
        <w:rPr>
          <w:rFonts w:hint="eastAsia"/>
          <w:color w:val="auto"/>
          <w:highlight w:val="none"/>
        </w:rPr>
        <w:t>1.绩效方案设计要应用RBRVS评估系统，建立临床医师、护理和医技岗位工作量价值的绩效评估模型，体现医务人员的劳动价值。同时绩效方案要建立可控成本管控模式，明确成本责任中心，调动全员堵漏节支的积极性和创造性，降低运行成本，提高运行效率。合理评估医院重点专科，综合考虑不同专科特点，建立以专科特色为基础的新型绩效分配方案。</w:t>
      </w:r>
    </w:p>
    <w:p>
      <w:pPr>
        <w:pStyle w:val="5"/>
        <w:ind w:firstLine="480"/>
        <w:rPr>
          <w:color w:val="auto"/>
          <w:highlight w:val="none"/>
        </w:rPr>
      </w:pPr>
      <w:r>
        <w:rPr>
          <w:rFonts w:hint="eastAsia"/>
          <w:color w:val="auto"/>
          <w:highlight w:val="none"/>
        </w:rPr>
        <w:t>2.全院使用同一套RBRVS点数价值表。使用RBRVS或工作量核算，每一岗位核算的公式或结果不得加上不同单价系数，要确保每一岗位操作相同项目，RBRVS核算结果一致。同时引入医护协作点值，更好的提升医、护、技人员的合作和融合。</w:t>
      </w:r>
    </w:p>
    <w:p>
      <w:pPr>
        <w:pStyle w:val="5"/>
        <w:ind w:firstLine="480"/>
        <w:rPr>
          <w:color w:val="auto"/>
          <w:highlight w:val="none"/>
        </w:rPr>
      </w:pPr>
      <w:r>
        <w:rPr>
          <w:rFonts w:hint="eastAsia"/>
          <w:color w:val="auto"/>
          <w:highlight w:val="none"/>
        </w:rPr>
        <w:t>3.职能后勤人员定岗定编。为院方确定各职能后勤合理人员设置，编写不同岗位的岗位说明书以及确定相关岗位KPI提供指导意见,从而确保医院职能后勤人员能明确工作职责，清楚了解关键考核指标。</w:t>
      </w:r>
    </w:p>
    <w:p>
      <w:pPr>
        <w:pStyle w:val="5"/>
        <w:ind w:firstLine="480"/>
        <w:rPr>
          <w:color w:val="auto"/>
          <w:highlight w:val="none"/>
        </w:rPr>
      </w:pPr>
      <w:r>
        <w:rPr>
          <w:rFonts w:hint="eastAsia"/>
          <w:color w:val="auto"/>
          <w:highlight w:val="none"/>
        </w:rPr>
        <w:t>4.绩效方案设计要合理评估收治病例的复杂程度与治疗技术难度的工作量，提高科室收治疑难病症的积极性，激励医院学科的建设和发展。</w:t>
      </w:r>
    </w:p>
    <w:p>
      <w:pPr>
        <w:pStyle w:val="5"/>
        <w:ind w:firstLine="480"/>
        <w:rPr>
          <w:color w:val="auto"/>
          <w:highlight w:val="none"/>
        </w:rPr>
      </w:pPr>
      <w:r>
        <w:rPr>
          <w:rFonts w:hint="eastAsia"/>
          <w:color w:val="auto"/>
          <w:highlight w:val="none"/>
        </w:rPr>
        <w:t>5.充分考虑DRG支付政策的影响，建立RBRVS+DRG一体化的绩效管理体系，整合、打通工作量奖励性绩效奖金核算、医保扣费绩效管理的工作，提供DRG付费对医院大额度扣费问题的绩效解决方案，有效引导临床一线共同适应DIP支付政策的变革。</w:t>
      </w:r>
    </w:p>
    <w:p>
      <w:pPr>
        <w:pStyle w:val="5"/>
        <w:ind w:firstLine="480"/>
        <w:rPr>
          <w:color w:val="auto"/>
          <w:highlight w:val="none"/>
        </w:rPr>
      </w:pPr>
      <w:r>
        <w:rPr>
          <w:rFonts w:hint="eastAsia"/>
          <w:color w:val="auto"/>
          <w:highlight w:val="none"/>
        </w:rPr>
        <w:t>6.质量考核指标需提供其它医院指标参考版，协助医院建立一套科学规范完整的综合质量考核指标体系。考核指标体系要与三级公立医院绩效评价指标框架和医院发展规划相适应，突出工作质量、工作效率、患者满意度、技术难度、风险程度及教学科研等方面内容。</w:t>
      </w:r>
    </w:p>
    <w:p>
      <w:pPr>
        <w:pStyle w:val="5"/>
        <w:ind w:firstLine="480"/>
        <w:rPr>
          <w:color w:val="auto"/>
          <w:highlight w:val="none"/>
        </w:rPr>
      </w:pPr>
      <w:r>
        <w:rPr>
          <w:rFonts w:hint="eastAsia"/>
          <w:color w:val="auto"/>
          <w:highlight w:val="none"/>
        </w:rPr>
        <w:t>7.绩效方案优化。中标人负责现有绩效管理方案进行梳理，测算相关数据，协助医院修正相关参数，对医院现有绩效方案进行优化。</w:t>
      </w:r>
    </w:p>
    <w:p>
      <w:pPr>
        <w:pStyle w:val="5"/>
        <w:ind w:firstLine="480"/>
        <w:rPr>
          <w:color w:val="auto"/>
          <w:highlight w:val="none"/>
        </w:rPr>
      </w:pPr>
      <w:r>
        <w:rPr>
          <w:rFonts w:hint="eastAsia"/>
          <w:color w:val="auto"/>
          <w:highlight w:val="none"/>
        </w:rPr>
        <w:t>8.项目建设方需搭建配套的web版医院绩效运营平台，医院绩效运营平台需与医院原有的管理系统实现无缝对接，并以绩效方案为基础提供定制化内容的信息化模块。要保证所开发的系统软件与招标人的系统、设备相匹配，具有技术先进性、可行性、安全性、稳定性、可靠性和易用性。</w:t>
      </w:r>
    </w:p>
    <w:p>
      <w:pPr>
        <w:pStyle w:val="5"/>
        <w:ind w:firstLine="480"/>
        <w:rPr>
          <w:color w:val="auto"/>
          <w:highlight w:val="none"/>
        </w:rPr>
      </w:pPr>
      <w:r>
        <w:rPr>
          <w:rFonts w:hint="eastAsia"/>
          <w:color w:val="auto"/>
          <w:highlight w:val="none"/>
        </w:rPr>
        <w:t>9.项目建设方需对医院相关责任人进行全方位的培训及带教，及时解答项目组人员提出的问题及解决方法，并提供详细的培训计划。项目过程中要持续向院领导、职代会、各核算单元进行宣讲辅导和答疑，并针对院方的相关问题提出合理化建议。</w:t>
      </w:r>
    </w:p>
    <w:p>
      <w:pPr>
        <w:pStyle w:val="3"/>
        <w:rPr>
          <w:color w:val="auto"/>
          <w:highlight w:val="none"/>
        </w:rPr>
      </w:pPr>
      <w:bookmarkStart w:id="5" w:name="_Toc8316"/>
      <w:r>
        <w:rPr>
          <w:rFonts w:hint="eastAsia"/>
          <w:color w:val="auto"/>
          <w:highlight w:val="none"/>
        </w:rPr>
        <w:t>项目建设内容</w:t>
      </w:r>
      <w:bookmarkEnd w:id="5"/>
    </w:p>
    <w:p>
      <w:pPr>
        <w:pStyle w:val="5"/>
        <w:ind w:firstLine="480"/>
        <w:rPr>
          <w:color w:val="auto"/>
          <w:highlight w:val="none"/>
        </w:rPr>
      </w:pPr>
      <w:r>
        <w:rPr>
          <w:rFonts w:hint="eastAsia"/>
          <w:color w:val="auto"/>
          <w:highlight w:val="none"/>
        </w:rPr>
        <w:t>本项目定位于建立符合公立医院改革精神与医院管理特色的现代医院综合运营精细化管理，优化绩效核算方案、加强医院学科建设、适应DRGs支付政策，建立一体化的绩效管理体系，形成标准化绩效数据，支撑医院通过发挥绩效的杠杆作用，充分发挥员工的工作积极性，推动医院良性健康发展。</w:t>
      </w:r>
    </w:p>
    <w:p>
      <w:pPr>
        <w:pStyle w:val="9"/>
        <w:ind w:firstLine="480"/>
        <w:rPr>
          <w:color w:val="auto"/>
          <w:highlight w:val="none"/>
        </w:rPr>
      </w:pPr>
    </w:p>
    <w:tbl>
      <w:tblPr>
        <w:tblStyle w:val="14"/>
        <w:tblW w:w="8622" w:type="dxa"/>
        <w:jc w:val="center"/>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82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780" w:type="dxa"/>
            <w:vAlign w:val="center"/>
          </w:tcPr>
          <w:p>
            <w:pPr>
              <w:pStyle w:val="18"/>
              <w:jc w:val="center"/>
              <w:rPr>
                <w:b/>
                <w:bCs w:val="0"/>
                <w:color w:val="auto"/>
                <w:highlight w:val="none"/>
              </w:rPr>
            </w:pPr>
            <w:r>
              <w:rPr>
                <w:rFonts w:hint="eastAsia"/>
                <w:b/>
                <w:bCs w:val="0"/>
                <w:color w:val="auto"/>
                <w:highlight w:val="none"/>
              </w:rPr>
              <w:t>序号</w:t>
            </w:r>
          </w:p>
        </w:tc>
        <w:tc>
          <w:tcPr>
            <w:tcW w:w="5826" w:type="dxa"/>
            <w:vAlign w:val="center"/>
          </w:tcPr>
          <w:p>
            <w:pPr>
              <w:pStyle w:val="18"/>
              <w:jc w:val="center"/>
              <w:rPr>
                <w:b/>
                <w:bCs w:val="0"/>
                <w:color w:val="auto"/>
                <w:highlight w:val="none"/>
              </w:rPr>
            </w:pPr>
            <w:r>
              <w:rPr>
                <w:rFonts w:hint="eastAsia"/>
                <w:b/>
                <w:bCs w:val="0"/>
                <w:color w:val="auto"/>
                <w:highlight w:val="none"/>
              </w:rPr>
              <w:t>内容名称</w:t>
            </w:r>
          </w:p>
        </w:tc>
        <w:tc>
          <w:tcPr>
            <w:tcW w:w="2016" w:type="dxa"/>
            <w:vAlign w:val="center"/>
          </w:tcPr>
          <w:p>
            <w:pPr>
              <w:pStyle w:val="18"/>
              <w:jc w:val="center"/>
              <w:rPr>
                <w:b/>
                <w:bCs w:val="0"/>
                <w:color w:val="auto"/>
                <w:highlight w:val="none"/>
              </w:rPr>
            </w:pPr>
            <w:r>
              <w:rPr>
                <w:rFonts w:hint="eastAsia"/>
                <w:b/>
                <w:bCs w:val="0"/>
                <w:color w:val="auto"/>
                <w:highlight w:val="none"/>
              </w:rPr>
              <w:t>数量、单位（套）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780" w:type="dxa"/>
            <w:vAlign w:val="center"/>
          </w:tcPr>
          <w:p>
            <w:pPr>
              <w:pStyle w:val="18"/>
              <w:jc w:val="center"/>
              <w:rPr>
                <w:color w:val="auto"/>
                <w:highlight w:val="none"/>
              </w:rPr>
            </w:pPr>
            <w:r>
              <w:rPr>
                <w:rFonts w:hint="eastAsia"/>
                <w:color w:val="auto"/>
                <w:highlight w:val="none"/>
              </w:rPr>
              <w:t>1</w:t>
            </w:r>
          </w:p>
        </w:tc>
        <w:tc>
          <w:tcPr>
            <w:tcW w:w="5826" w:type="dxa"/>
            <w:vAlign w:val="center"/>
          </w:tcPr>
          <w:p>
            <w:pPr>
              <w:pStyle w:val="18"/>
              <w:jc w:val="center"/>
              <w:rPr>
                <w:color w:val="auto"/>
                <w:highlight w:val="none"/>
              </w:rPr>
            </w:pPr>
            <w:r>
              <w:rPr>
                <w:rFonts w:hint="eastAsia"/>
                <w:color w:val="auto"/>
                <w:highlight w:val="none"/>
              </w:rPr>
              <w:t>Web版医院绩效运营平台</w:t>
            </w:r>
          </w:p>
        </w:tc>
        <w:tc>
          <w:tcPr>
            <w:tcW w:w="2016" w:type="dxa"/>
            <w:vAlign w:val="center"/>
          </w:tcPr>
          <w:p>
            <w:pPr>
              <w:pStyle w:val="18"/>
              <w:jc w:val="center"/>
              <w:rPr>
                <w:b/>
                <w:bCs w:val="0"/>
                <w:color w:val="auto"/>
                <w:highlight w:val="none"/>
              </w:rPr>
            </w:pPr>
            <w:r>
              <w:rPr>
                <w:rFonts w:hint="eastAsia"/>
                <w:b/>
                <w:bCs w:val="0"/>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780" w:type="dxa"/>
            <w:vAlign w:val="center"/>
          </w:tcPr>
          <w:p>
            <w:pPr>
              <w:pStyle w:val="18"/>
              <w:jc w:val="center"/>
              <w:rPr>
                <w:color w:val="auto"/>
                <w:highlight w:val="none"/>
              </w:rPr>
            </w:pPr>
            <w:r>
              <w:rPr>
                <w:rFonts w:hint="eastAsia"/>
                <w:color w:val="auto"/>
                <w:highlight w:val="none"/>
              </w:rPr>
              <w:t>2</w:t>
            </w:r>
          </w:p>
        </w:tc>
        <w:tc>
          <w:tcPr>
            <w:tcW w:w="5826" w:type="dxa"/>
            <w:vAlign w:val="center"/>
          </w:tcPr>
          <w:p>
            <w:pPr>
              <w:pStyle w:val="18"/>
              <w:jc w:val="center"/>
              <w:rPr>
                <w:color w:val="auto"/>
                <w:highlight w:val="none"/>
              </w:rPr>
            </w:pPr>
            <w:r>
              <w:rPr>
                <w:rFonts w:hint="eastAsia"/>
                <w:color w:val="auto"/>
                <w:highlight w:val="none"/>
              </w:rPr>
              <w:t>职能后勤人员定岗定编模块</w:t>
            </w:r>
          </w:p>
        </w:tc>
        <w:tc>
          <w:tcPr>
            <w:tcW w:w="2016" w:type="dxa"/>
            <w:vAlign w:val="center"/>
          </w:tcPr>
          <w:p>
            <w:pPr>
              <w:pStyle w:val="18"/>
              <w:jc w:val="center"/>
              <w:rPr>
                <w:b/>
                <w:bCs w:val="0"/>
                <w:color w:val="auto"/>
                <w:highlight w:val="none"/>
              </w:rPr>
            </w:pPr>
            <w:r>
              <w:rPr>
                <w:rFonts w:hint="eastAsia"/>
                <w:b/>
                <w:bCs w:val="0"/>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780" w:type="dxa"/>
            <w:vAlign w:val="center"/>
          </w:tcPr>
          <w:p>
            <w:pPr>
              <w:pStyle w:val="18"/>
              <w:jc w:val="center"/>
              <w:rPr>
                <w:color w:val="auto"/>
                <w:highlight w:val="none"/>
              </w:rPr>
            </w:pPr>
            <w:r>
              <w:rPr>
                <w:rFonts w:hint="eastAsia"/>
                <w:color w:val="auto"/>
                <w:highlight w:val="none"/>
              </w:rPr>
              <w:t>3</w:t>
            </w:r>
          </w:p>
        </w:tc>
        <w:tc>
          <w:tcPr>
            <w:tcW w:w="5826" w:type="dxa"/>
            <w:vAlign w:val="center"/>
          </w:tcPr>
          <w:p>
            <w:pPr>
              <w:pStyle w:val="18"/>
              <w:jc w:val="center"/>
              <w:rPr>
                <w:color w:val="auto"/>
                <w:highlight w:val="none"/>
              </w:rPr>
            </w:pPr>
            <w:r>
              <w:rPr>
                <w:rFonts w:hint="eastAsia"/>
                <w:color w:val="auto"/>
                <w:szCs w:val="21"/>
                <w:highlight w:val="none"/>
              </w:rPr>
              <w:t>医院学科建设激励（CMI/RW）</w:t>
            </w:r>
          </w:p>
        </w:tc>
        <w:tc>
          <w:tcPr>
            <w:tcW w:w="2016" w:type="dxa"/>
            <w:vAlign w:val="center"/>
          </w:tcPr>
          <w:p>
            <w:pPr>
              <w:pStyle w:val="18"/>
              <w:jc w:val="center"/>
              <w:rPr>
                <w:color w:val="auto"/>
                <w:highlight w:val="none"/>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780" w:type="dxa"/>
            <w:vAlign w:val="center"/>
          </w:tcPr>
          <w:p>
            <w:pPr>
              <w:pStyle w:val="18"/>
              <w:jc w:val="center"/>
              <w:rPr>
                <w:color w:val="auto"/>
                <w:highlight w:val="none"/>
              </w:rPr>
            </w:pPr>
            <w:r>
              <w:rPr>
                <w:rFonts w:hint="eastAsia"/>
                <w:color w:val="auto"/>
                <w:highlight w:val="none"/>
              </w:rPr>
              <w:t>4</w:t>
            </w:r>
          </w:p>
        </w:tc>
        <w:tc>
          <w:tcPr>
            <w:tcW w:w="5826" w:type="dxa"/>
            <w:vAlign w:val="center"/>
          </w:tcPr>
          <w:p>
            <w:pPr>
              <w:pStyle w:val="18"/>
              <w:jc w:val="center"/>
              <w:rPr>
                <w:color w:val="auto"/>
                <w:highlight w:val="none"/>
              </w:rPr>
            </w:pPr>
            <w:r>
              <w:rPr>
                <w:rFonts w:hint="eastAsia"/>
                <w:color w:val="auto"/>
                <w:highlight w:val="none"/>
              </w:rPr>
              <w:t>DRG/DIP环境下的绩效奖金模块</w:t>
            </w:r>
          </w:p>
        </w:tc>
        <w:tc>
          <w:tcPr>
            <w:tcW w:w="2016" w:type="dxa"/>
            <w:vAlign w:val="center"/>
          </w:tcPr>
          <w:p>
            <w:pPr>
              <w:pStyle w:val="18"/>
              <w:jc w:val="center"/>
              <w:rPr>
                <w:color w:val="auto"/>
                <w:highlight w:val="none"/>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780" w:type="dxa"/>
            <w:vAlign w:val="center"/>
          </w:tcPr>
          <w:p>
            <w:pPr>
              <w:pStyle w:val="18"/>
              <w:jc w:val="center"/>
              <w:rPr>
                <w:color w:val="auto"/>
                <w:highlight w:val="none"/>
              </w:rPr>
            </w:pPr>
            <w:r>
              <w:rPr>
                <w:rFonts w:hint="eastAsia"/>
                <w:color w:val="auto"/>
                <w:highlight w:val="none"/>
              </w:rPr>
              <w:t>5</w:t>
            </w:r>
          </w:p>
        </w:tc>
        <w:tc>
          <w:tcPr>
            <w:tcW w:w="5826" w:type="dxa"/>
            <w:vAlign w:val="center"/>
          </w:tcPr>
          <w:p>
            <w:pPr>
              <w:pStyle w:val="18"/>
              <w:jc w:val="center"/>
              <w:rPr>
                <w:color w:val="auto"/>
                <w:highlight w:val="none"/>
              </w:rPr>
            </w:pPr>
            <w:r>
              <w:rPr>
                <w:rFonts w:hint="eastAsia"/>
                <w:color w:val="auto"/>
                <w:highlight w:val="none"/>
              </w:rPr>
              <w:t>质量考核（含三级公立综合医院绩效考核）指标模块</w:t>
            </w:r>
          </w:p>
        </w:tc>
        <w:tc>
          <w:tcPr>
            <w:tcW w:w="2016" w:type="dxa"/>
            <w:vAlign w:val="center"/>
          </w:tcPr>
          <w:p>
            <w:pPr>
              <w:pStyle w:val="18"/>
              <w:jc w:val="center"/>
              <w:rPr>
                <w:color w:val="auto"/>
                <w:highlight w:val="none"/>
              </w:rPr>
            </w:pPr>
            <w:r>
              <w:rPr>
                <w:rFonts w:hint="eastAsia"/>
                <w:color w:val="auto"/>
                <w:highlight w:val="none"/>
              </w:rPr>
              <w:t>1</w:t>
            </w:r>
          </w:p>
        </w:tc>
      </w:tr>
    </w:tbl>
    <w:p>
      <w:pPr>
        <w:pStyle w:val="3"/>
        <w:rPr>
          <w:color w:val="auto"/>
          <w:highlight w:val="none"/>
        </w:rPr>
      </w:pPr>
      <w:bookmarkStart w:id="6" w:name="_Toc4053"/>
      <w:r>
        <w:rPr>
          <w:rFonts w:hint="eastAsia"/>
          <w:color w:val="auto"/>
          <w:highlight w:val="none"/>
        </w:rPr>
        <w:t>咨询服务需求</w:t>
      </w:r>
      <w:bookmarkEnd w:id="6"/>
    </w:p>
    <w:p>
      <w:pPr>
        <w:pStyle w:val="4"/>
        <w:rPr>
          <w:color w:val="auto"/>
          <w:highlight w:val="none"/>
        </w:rPr>
      </w:pPr>
      <w:bookmarkStart w:id="7" w:name="_Toc21240"/>
      <w:r>
        <w:rPr>
          <w:rFonts w:hint="eastAsia"/>
          <w:color w:val="auto"/>
          <w:highlight w:val="none"/>
        </w:rPr>
        <w:t>职能后勤人员定岗定编模块</w:t>
      </w:r>
      <w:bookmarkEnd w:id="7"/>
    </w:p>
    <w:p>
      <w:pPr>
        <w:pStyle w:val="5"/>
        <w:ind w:firstLine="480"/>
        <w:rPr>
          <w:color w:val="auto"/>
          <w:szCs w:val="24"/>
          <w:highlight w:val="none"/>
        </w:rPr>
      </w:pPr>
      <w:r>
        <w:rPr>
          <w:rFonts w:hint="eastAsia"/>
          <w:color w:val="auto"/>
          <w:szCs w:val="24"/>
          <w:highlight w:val="none"/>
        </w:rPr>
        <w:t>6.1.1提供同级医院职能后勤科室设置以及人数供院方参考。</w:t>
      </w:r>
    </w:p>
    <w:p>
      <w:pPr>
        <w:pStyle w:val="5"/>
        <w:ind w:firstLine="480"/>
        <w:rPr>
          <w:color w:val="auto"/>
          <w:szCs w:val="24"/>
          <w:highlight w:val="none"/>
        </w:rPr>
      </w:pPr>
      <w:r>
        <w:rPr>
          <w:rFonts w:hint="eastAsia"/>
          <w:color w:val="auto"/>
          <w:szCs w:val="24"/>
          <w:highlight w:val="none"/>
        </w:rPr>
        <w:t>6.1.2编写岗位说明书编写；</w:t>
      </w:r>
    </w:p>
    <w:p>
      <w:pPr>
        <w:pStyle w:val="5"/>
        <w:ind w:firstLine="480"/>
        <w:rPr>
          <w:color w:val="auto"/>
          <w:szCs w:val="24"/>
          <w:highlight w:val="none"/>
        </w:rPr>
      </w:pPr>
      <w:r>
        <w:rPr>
          <w:rFonts w:hint="eastAsia"/>
          <w:color w:val="auto"/>
          <w:szCs w:val="24"/>
          <w:highlight w:val="none"/>
        </w:rPr>
        <w:t>1）培训以及指导科室填写岗位说明书；</w:t>
      </w:r>
    </w:p>
    <w:p>
      <w:pPr>
        <w:pStyle w:val="5"/>
        <w:ind w:firstLine="480"/>
        <w:rPr>
          <w:color w:val="auto"/>
          <w:szCs w:val="24"/>
          <w:highlight w:val="none"/>
        </w:rPr>
      </w:pPr>
      <w:r>
        <w:rPr>
          <w:rFonts w:hint="eastAsia"/>
          <w:color w:val="auto"/>
          <w:szCs w:val="24"/>
          <w:highlight w:val="none"/>
        </w:rPr>
        <w:t>2）培训以及指导人事部门评审岗位说明书合理性。</w:t>
      </w:r>
    </w:p>
    <w:p>
      <w:pPr>
        <w:pStyle w:val="5"/>
        <w:ind w:firstLine="480"/>
        <w:rPr>
          <w:color w:val="auto"/>
          <w:szCs w:val="24"/>
          <w:highlight w:val="none"/>
        </w:rPr>
      </w:pPr>
      <w:r>
        <w:rPr>
          <w:rFonts w:hint="eastAsia"/>
          <w:color w:val="auto"/>
          <w:szCs w:val="24"/>
          <w:highlight w:val="none"/>
        </w:rPr>
        <w:t>3.提供KPI考核给院方作为参考，指导院方确定KPI关键要素。</w:t>
      </w:r>
    </w:p>
    <w:p>
      <w:pPr>
        <w:pStyle w:val="5"/>
        <w:ind w:firstLine="480"/>
        <w:rPr>
          <w:color w:val="auto"/>
          <w:szCs w:val="24"/>
          <w:highlight w:val="none"/>
        </w:rPr>
      </w:pPr>
      <w:r>
        <w:rPr>
          <w:rFonts w:hint="eastAsia"/>
          <w:color w:val="auto"/>
          <w:szCs w:val="24"/>
          <w:highlight w:val="none"/>
        </w:rPr>
        <w:t>4.梳理各岗位绩效奖金的定级。</w:t>
      </w:r>
    </w:p>
    <w:p>
      <w:pPr>
        <w:pStyle w:val="5"/>
        <w:ind w:firstLine="480"/>
        <w:rPr>
          <w:color w:val="auto"/>
          <w:szCs w:val="24"/>
          <w:highlight w:val="none"/>
        </w:rPr>
      </w:pPr>
      <w:r>
        <w:rPr>
          <w:rFonts w:hint="eastAsia"/>
          <w:color w:val="auto"/>
          <w:szCs w:val="24"/>
          <w:highlight w:val="none"/>
        </w:rPr>
        <w:t>5.职能后勤人员绩效奖金结合岗位定级和</w:t>
      </w:r>
      <w:r>
        <w:rPr>
          <w:color w:val="auto"/>
          <w:szCs w:val="24"/>
          <w:highlight w:val="none"/>
        </w:rPr>
        <w:t>KPI</w:t>
      </w:r>
      <w:r>
        <w:rPr>
          <w:rFonts w:hint="eastAsia"/>
          <w:color w:val="auto"/>
          <w:szCs w:val="24"/>
          <w:highlight w:val="none"/>
        </w:rPr>
        <w:t>考核分数。</w:t>
      </w:r>
    </w:p>
    <w:p>
      <w:pPr>
        <w:pStyle w:val="4"/>
        <w:rPr>
          <w:color w:val="auto"/>
          <w:highlight w:val="none"/>
        </w:rPr>
      </w:pPr>
      <w:bookmarkStart w:id="8" w:name="_Toc8948"/>
      <w:bookmarkStart w:id="9" w:name="_Toc86329776"/>
      <w:bookmarkStart w:id="10" w:name="_Toc80347090"/>
      <w:r>
        <w:rPr>
          <w:rFonts w:hint="eastAsia"/>
          <w:color w:val="auto"/>
          <w:highlight w:val="none"/>
        </w:rPr>
        <w:t>医院学科建设激励模块（CMI/RW）</w:t>
      </w:r>
      <w:bookmarkEnd w:id="8"/>
    </w:p>
    <w:p>
      <w:pPr>
        <w:pStyle w:val="5"/>
        <w:ind w:firstLine="482"/>
        <w:rPr>
          <w:b/>
          <w:bCs/>
          <w:color w:val="auto"/>
          <w:highlight w:val="none"/>
        </w:rPr>
      </w:pPr>
      <w:bookmarkStart w:id="11" w:name="_Toc11667"/>
      <w:r>
        <w:rPr>
          <w:rFonts w:hint="eastAsia"/>
          <w:b/>
          <w:bCs/>
          <w:color w:val="auto"/>
          <w:highlight w:val="none"/>
        </w:rPr>
        <w:t>6.2.1.建立适合医院的规范的I</w:t>
      </w:r>
      <w:r>
        <w:rPr>
          <w:b/>
          <w:bCs/>
          <w:color w:val="auto"/>
          <w:highlight w:val="none"/>
        </w:rPr>
        <w:t>CD</w:t>
      </w:r>
      <w:r>
        <w:rPr>
          <w:rFonts w:hint="eastAsia"/>
          <w:b/>
          <w:bCs/>
          <w:color w:val="auto"/>
          <w:highlight w:val="none"/>
        </w:rPr>
        <w:t>-10疾病诊断分级</w:t>
      </w:r>
      <w:bookmarkEnd w:id="11"/>
    </w:p>
    <w:p>
      <w:pPr>
        <w:pStyle w:val="5"/>
        <w:ind w:firstLine="480"/>
        <w:rPr>
          <w:color w:val="auto"/>
          <w:highlight w:val="none"/>
        </w:rPr>
      </w:pPr>
      <w:r>
        <w:rPr>
          <w:rFonts w:hint="eastAsia"/>
          <w:color w:val="auto"/>
          <w:highlight w:val="none"/>
        </w:rPr>
        <w:t>协助医院根据（1）</w:t>
      </w:r>
      <w:r>
        <w:rPr>
          <w:color w:val="auto"/>
          <w:highlight w:val="none"/>
        </w:rPr>
        <w:t>省卫健委的手术分类</w:t>
      </w:r>
      <w:r>
        <w:rPr>
          <w:rFonts w:hint="eastAsia"/>
          <w:color w:val="auto"/>
          <w:highlight w:val="none"/>
        </w:rPr>
        <w:t>；（2）2016年</w:t>
      </w:r>
      <w:r>
        <w:rPr>
          <w:color w:val="auto"/>
          <w:highlight w:val="none"/>
        </w:rPr>
        <w:t>三级综合医疗医院服务指南（尤其参考推荐技术能力）</w:t>
      </w:r>
      <w:r>
        <w:rPr>
          <w:rFonts w:hint="eastAsia"/>
          <w:color w:val="auto"/>
          <w:highlight w:val="none"/>
        </w:rPr>
        <w:t>；（3）</w:t>
      </w:r>
      <w:r>
        <w:rPr>
          <w:color w:val="auto"/>
          <w:highlight w:val="none"/>
        </w:rPr>
        <w:t>同级医院各科前十种病种排序</w:t>
      </w:r>
      <w:r>
        <w:rPr>
          <w:rFonts w:hint="eastAsia"/>
          <w:color w:val="auto"/>
          <w:highlight w:val="none"/>
        </w:rPr>
        <w:t>(我司提供)，建立规范且适合医院发展的I</w:t>
      </w:r>
      <w:r>
        <w:rPr>
          <w:color w:val="auto"/>
          <w:highlight w:val="none"/>
        </w:rPr>
        <w:t>CD</w:t>
      </w:r>
      <w:r>
        <w:rPr>
          <w:rFonts w:hint="eastAsia"/>
          <w:color w:val="auto"/>
          <w:highlight w:val="none"/>
        </w:rPr>
        <w:t>-10疾病诊断分级。</w:t>
      </w:r>
    </w:p>
    <w:p>
      <w:pPr>
        <w:pStyle w:val="5"/>
        <w:ind w:firstLine="482"/>
        <w:rPr>
          <w:b/>
          <w:bCs/>
          <w:color w:val="auto"/>
          <w:highlight w:val="none"/>
        </w:rPr>
      </w:pPr>
      <w:bookmarkStart w:id="12" w:name="_Toc32226"/>
      <w:r>
        <w:rPr>
          <w:rFonts w:hint="eastAsia"/>
          <w:b/>
          <w:bCs/>
          <w:color w:val="auto"/>
          <w:highlight w:val="none"/>
        </w:rPr>
        <w:t>6.2.2.学科建设规划</w:t>
      </w:r>
      <w:bookmarkEnd w:id="12"/>
    </w:p>
    <w:p>
      <w:pPr>
        <w:pStyle w:val="5"/>
        <w:ind w:firstLine="480"/>
        <w:rPr>
          <w:color w:val="auto"/>
          <w:highlight w:val="none"/>
        </w:rPr>
      </w:pPr>
      <w:r>
        <w:rPr>
          <w:rFonts w:hint="eastAsia"/>
          <w:color w:val="auto"/>
          <w:highlight w:val="none"/>
        </w:rPr>
        <w:t>根据医院各科室的实际病种结构，同时与省级或同级医院各科优势病种比较，或者参考《三级综合医院医疗服务能力指南》中的“推荐技术能力”，规范确定医院希望开展的各科前三种病病种和医院扶植病种，此类病种可调整I</w:t>
      </w:r>
      <w:r>
        <w:rPr>
          <w:color w:val="auto"/>
          <w:highlight w:val="none"/>
        </w:rPr>
        <w:t>CD-10</w:t>
      </w:r>
      <w:r>
        <w:rPr>
          <w:rFonts w:hint="eastAsia"/>
          <w:color w:val="auto"/>
          <w:highlight w:val="none"/>
        </w:rPr>
        <w:t>分类级别，给予额外激励加成。调整的病种需医院绩效委员会确认，并设置调整期限，调整期后恢复原分类级别。</w:t>
      </w:r>
    </w:p>
    <w:p>
      <w:pPr>
        <w:pStyle w:val="5"/>
        <w:ind w:firstLine="482"/>
        <w:rPr>
          <w:b/>
          <w:bCs/>
          <w:color w:val="auto"/>
          <w:highlight w:val="none"/>
        </w:rPr>
      </w:pPr>
      <w:bookmarkStart w:id="13" w:name="_Toc4277"/>
      <w:r>
        <w:rPr>
          <w:rFonts w:hint="eastAsia"/>
          <w:b/>
          <w:bCs/>
          <w:color w:val="auto"/>
          <w:highlight w:val="none"/>
        </w:rPr>
        <w:t>6.2.3.事前</w:t>
      </w:r>
      <w:r>
        <w:rPr>
          <w:b/>
          <w:bCs/>
          <w:color w:val="auto"/>
          <w:highlight w:val="none"/>
        </w:rPr>
        <w:t>ICD-10四级疾病</w:t>
      </w:r>
      <w:r>
        <w:rPr>
          <w:rFonts w:hint="eastAsia"/>
          <w:b/>
          <w:bCs/>
          <w:color w:val="auto"/>
          <w:highlight w:val="none"/>
        </w:rPr>
        <w:t>主动收治激励+事后C</w:t>
      </w:r>
      <w:r>
        <w:rPr>
          <w:b/>
          <w:bCs/>
          <w:color w:val="auto"/>
          <w:highlight w:val="none"/>
        </w:rPr>
        <w:t>MI</w:t>
      </w:r>
      <w:r>
        <w:rPr>
          <w:rFonts w:hint="eastAsia"/>
          <w:b/>
          <w:bCs/>
          <w:color w:val="auto"/>
          <w:highlight w:val="none"/>
        </w:rPr>
        <w:t>成效奖励</w:t>
      </w:r>
      <w:bookmarkEnd w:id="13"/>
    </w:p>
    <w:p>
      <w:pPr>
        <w:pStyle w:val="5"/>
        <w:ind w:firstLine="480"/>
        <w:rPr>
          <w:color w:val="auto"/>
          <w:highlight w:val="none"/>
        </w:rPr>
      </w:pPr>
      <w:r>
        <w:rPr>
          <w:rFonts w:hint="eastAsia"/>
          <w:color w:val="auto"/>
          <w:highlight w:val="none"/>
        </w:rPr>
        <w:t>相较于C</w:t>
      </w:r>
      <w:r>
        <w:rPr>
          <w:color w:val="auto"/>
          <w:highlight w:val="none"/>
        </w:rPr>
        <w:t>MI</w:t>
      </w:r>
      <w:r>
        <w:rPr>
          <w:rFonts w:hint="eastAsia"/>
          <w:color w:val="auto"/>
          <w:highlight w:val="none"/>
        </w:rPr>
        <w:t>，对科室而言，</w:t>
      </w:r>
      <w:r>
        <w:rPr>
          <w:color w:val="auto"/>
          <w:highlight w:val="none"/>
        </w:rPr>
        <w:t>ICD-10疾病诊断分级</w:t>
      </w:r>
      <w:r>
        <w:rPr>
          <w:rFonts w:hint="eastAsia"/>
          <w:color w:val="auto"/>
          <w:highlight w:val="none"/>
        </w:rPr>
        <w:t>和绩效委员会确认的调整病种分类是事前确定的清晰的，可以让各科医生从收治病患时，就主动控管，激励效果明显；而C</w:t>
      </w:r>
      <w:r>
        <w:rPr>
          <w:color w:val="auto"/>
          <w:highlight w:val="none"/>
        </w:rPr>
        <w:t>MI,</w:t>
      </w:r>
      <w:r>
        <w:rPr>
          <w:rFonts w:hint="eastAsia"/>
          <w:color w:val="auto"/>
          <w:highlight w:val="none"/>
        </w:rPr>
        <w:t>是事后反馈，且各科室差异性较小，但是考虑到D</w:t>
      </w:r>
      <w:r>
        <w:rPr>
          <w:color w:val="auto"/>
          <w:highlight w:val="none"/>
        </w:rPr>
        <w:t>RG</w:t>
      </w:r>
      <w:r>
        <w:rPr>
          <w:rFonts w:hint="eastAsia"/>
          <w:color w:val="auto"/>
          <w:highlight w:val="none"/>
        </w:rPr>
        <w:t>s时代下C</w:t>
      </w:r>
      <w:r>
        <w:rPr>
          <w:color w:val="auto"/>
          <w:highlight w:val="none"/>
        </w:rPr>
        <w:t>MI</w:t>
      </w:r>
      <w:r>
        <w:rPr>
          <w:rFonts w:hint="eastAsia"/>
          <w:color w:val="auto"/>
          <w:highlight w:val="none"/>
        </w:rPr>
        <w:t>重要性，因此要给予</w:t>
      </w:r>
      <w:r>
        <w:rPr>
          <w:color w:val="auto"/>
          <w:highlight w:val="none"/>
        </w:rPr>
        <w:t>CMI</w:t>
      </w:r>
      <w:r>
        <w:rPr>
          <w:rFonts w:hint="eastAsia"/>
          <w:color w:val="auto"/>
          <w:highlight w:val="none"/>
        </w:rPr>
        <w:t>成效奖励。两者是正相关的。可根据医院实际情况，在不同发展阶段，在两者之间划分不同权重。</w:t>
      </w:r>
    </w:p>
    <w:p>
      <w:pPr>
        <w:pStyle w:val="4"/>
        <w:rPr>
          <w:color w:val="auto"/>
          <w:highlight w:val="none"/>
        </w:rPr>
      </w:pPr>
      <w:bookmarkStart w:id="14" w:name="_Toc16388"/>
      <w:r>
        <w:rPr>
          <w:rFonts w:hint="eastAsia"/>
          <w:color w:val="auto"/>
          <w:highlight w:val="none"/>
        </w:rPr>
        <w:t>DRG/DIP环境下绩效奖金模块</w:t>
      </w:r>
      <w:bookmarkEnd w:id="14"/>
    </w:p>
    <w:p>
      <w:pPr>
        <w:pStyle w:val="19"/>
        <w:ind w:firstLine="480"/>
        <w:rPr>
          <w:color w:val="auto"/>
          <w:highlight w:val="none"/>
        </w:rPr>
      </w:pPr>
      <w:r>
        <w:rPr>
          <w:rFonts w:hint="eastAsia"/>
          <w:color w:val="auto"/>
          <w:highlight w:val="none"/>
        </w:rPr>
        <w:t>根据医院信息系统支持的情况，开展各病种</w:t>
      </w:r>
      <w:r>
        <w:rPr>
          <w:color w:val="auto"/>
          <w:highlight w:val="none"/>
        </w:rPr>
        <w:t>/</w:t>
      </w:r>
      <w:r>
        <w:rPr>
          <w:rFonts w:hint="eastAsia"/>
          <w:color w:val="auto"/>
          <w:highlight w:val="none"/>
        </w:rPr>
        <w:t>病组出院费用指标核算，包括总费用、次均费用、药品费用、耗材费用等；</w:t>
      </w:r>
    </w:p>
    <w:p>
      <w:pPr>
        <w:pStyle w:val="19"/>
        <w:ind w:firstLine="480"/>
        <w:rPr>
          <w:color w:val="auto"/>
          <w:highlight w:val="none"/>
        </w:rPr>
      </w:pPr>
      <w:r>
        <w:rPr>
          <w:rFonts w:hint="eastAsia"/>
          <w:color w:val="auto"/>
          <w:highlight w:val="none"/>
        </w:rPr>
        <w:t>区分医嘱科室费用（收治患者临床科室）、非医嘱科室（麻醉科，会诊当前患者的科室）费用，医嘱科室费用再进一步分为手术、治疗、检验、检查、药品和材料等，核心病种要定义医嘱科室费用或非医嘱科室费用标杆，用于费用绩效核算；</w:t>
      </w:r>
    </w:p>
    <w:p>
      <w:pPr>
        <w:pStyle w:val="19"/>
        <w:ind w:firstLine="480"/>
        <w:rPr>
          <w:color w:val="auto"/>
          <w:highlight w:val="none"/>
        </w:rPr>
      </w:pPr>
      <w:r>
        <w:rPr>
          <w:rFonts w:hint="eastAsia"/>
          <w:color w:val="auto"/>
          <w:highlight w:val="none"/>
        </w:rPr>
        <w:t>按照病组设置标准住院床日数，根据与标准床日数的差异设置阶梯式</w:t>
      </w:r>
      <w:r>
        <w:rPr>
          <w:color w:val="auto"/>
          <w:highlight w:val="none"/>
        </w:rPr>
        <w:t>RBRVS</w:t>
      </w:r>
      <w:r>
        <w:rPr>
          <w:rFonts w:hint="eastAsia"/>
          <w:color w:val="auto"/>
          <w:highlight w:val="none"/>
        </w:rPr>
        <w:t>点数，按照每个患者的住院床日核算绩效。</w:t>
      </w:r>
    </w:p>
    <w:p>
      <w:pPr>
        <w:pStyle w:val="4"/>
        <w:rPr>
          <w:color w:val="auto"/>
          <w:highlight w:val="none"/>
        </w:rPr>
      </w:pPr>
      <w:bookmarkStart w:id="15" w:name="_Toc30268"/>
      <w:r>
        <w:rPr>
          <w:rFonts w:hint="eastAsia"/>
          <w:color w:val="auto"/>
          <w:highlight w:val="none"/>
        </w:rPr>
        <w:t>质量考核（含三级公立综合医院绩效考核）指标模块</w:t>
      </w:r>
      <w:bookmarkEnd w:id="15"/>
    </w:p>
    <w:p>
      <w:pPr>
        <w:pStyle w:val="6"/>
        <w:rPr>
          <w:color w:val="auto"/>
          <w:highlight w:val="none"/>
        </w:rPr>
      </w:pPr>
      <w:bookmarkStart w:id="16" w:name="_Toc39045564"/>
      <w:bookmarkStart w:id="17" w:name="_Toc19979"/>
      <w:r>
        <w:rPr>
          <w:color w:val="auto"/>
          <w:highlight w:val="none"/>
        </w:rPr>
        <w:t>绩效数据治理</w:t>
      </w:r>
      <w:bookmarkEnd w:id="16"/>
      <w:bookmarkEnd w:id="17"/>
    </w:p>
    <w:p>
      <w:pPr>
        <w:pStyle w:val="5"/>
        <w:ind w:firstLine="480"/>
        <w:rPr>
          <w:rFonts w:ascii="Times New Roman" w:hAnsi="Times New Roman" w:cs="Times New Roman"/>
          <w:color w:val="auto"/>
          <w:highlight w:val="none"/>
        </w:rPr>
      </w:pPr>
      <w:r>
        <w:rPr>
          <w:rFonts w:ascii="Times New Roman" w:hAnsi="Times New Roman" w:cs="Times New Roman"/>
          <w:color w:val="auto"/>
          <w:highlight w:val="none"/>
        </w:rPr>
        <w:t>建立标准化绩效管理数据</w:t>
      </w:r>
      <w:r>
        <w:rPr>
          <w:rFonts w:hint="eastAsia" w:ascii="Times New Roman" w:hAnsi="Times New Roman" w:cs="Times New Roman"/>
          <w:color w:val="auto"/>
          <w:highlight w:val="none"/>
        </w:rPr>
        <w:t>，形成完善的质量指标考核体系</w:t>
      </w:r>
      <w:r>
        <w:rPr>
          <w:rFonts w:ascii="Times New Roman" w:hAnsi="Times New Roman" w:cs="Times New Roman"/>
          <w:color w:val="auto"/>
          <w:highlight w:val="none"/>
        </w:rPr>
        <w:t>，统一DRGs系统、工作量核算系统、55项指标数据系统</w:t>
      </w:r>
      <w:r>
        <w:rPr>
          <w:rFonts w:hint="eastAsia" w:ascii="Times New Roman" w:hAnsi="Times New Roman" w:cs="Times New Roman"/>
          <w:color w:val="auto"/>
          <w:highlight w:val="none"/>
        </w:rPr>
        <w:t>（ 详见附件一），</w:t>
      </w:r>
      <w:r>
        <w:rPr>
          <w:rFonts w:ascii="Times New Roman" w:hAnsi="Times New Roman" w:cs="Times New Roman"/>
          <w:color w:val="auto"/>
          <w:highlight w:val="none"/>
        </w:rPr>
        <w:t>同一数据规范数据定义、数据来源，明确各指标数据在各部门的分工合作机制，落实每个指标数据责任归属部门、协同部门等，最终在全院形成数据规范说明书。</w:t>
      </w:r>
    </w:p>
    <w:p>
      <w:pPr>
        <w:pStyle w:val="6"/>
        <w:rPr>
          <w:color w:val="auto"/>
          <w:highlight w:val="none"/>
        </w:rPr>
      </w:pPr>
      <w:bookmarkStart w:id="18" w:name="_Toc40706186"/>
      <w:bookmarkStart w:id="19" w:name="_Toc39052865"/>
      <w:bookmarkStart w:id="20" w:name="_Toc12077"/>
      <w:r>
        <w:rPr>
          <w:color w:val="auto"/>
          <w:highlight w:val="none"/>
        </w:rPr>
        <w:t>医院/科室指标目标值设置</w:t>
      </w:r>
      <w:bookmarkEnd w:id="18"/>
      <w:bookmarkEnd w:id="19"/>
      <w:bookmarkEnd w:id="20"/>
    </w:p>
    <w:p>
      <w:pPr>
        <w:pStyle w:val="5"/>
        <w:ind w:firstLine="480"/>
        <w:rPr>
          <w:rFonts w:ascii="Times New Roman" w:hAnsi="Times New Roman" w:cs="Times New Roman"/>
          <w:color w:val="auto"/>
          <w:highlight w:val="none"/>
        </w:rPr>
      </w:pPr>
      <w:r>
        <w:rPr>
          <w:color w:val="auto"/>
          <w:highlight w:val="none"/>
        </w:rPr>
        <w:t>院级考核指标和科室考核指标的目标值设置是本模块中的最核心的环节。目标值的设置需符合以下要求：1.符合医院战略发展和年度经营目标；2.科室认可程度较高，能全力促成目标值的达成。参考医院历史数据、同级医院数据、多家省级医院或医科大学医院的数据，建立目标值设置模型，协助医院搭建全院、科室、医疗组的目标值</w:t>
      </w:r>
      <w:r>
        <w:rPr>
          <w:rFonts w:ascii="Times New Roman" w:hAnsi="Times New Roman" w:cs="Times New Roman"/>
          <w:color w:val="auto"/>
          <w:highlight w:val="none"/>
        </w:rPr>
        <w:t>。</w:t>
      </w:r>
    </w:p>
    <w:p>
      <w:pPr>
        <w:pStyle w:val="6"/>
        <w:rPr>
          <w:color w:val="auto"/>
          <w:highlight w:val="none"/>
        </w:rPr>
      </w:pPr>
      <w:bookmarkStart w:id="21" w:name="_Toc39045568"/>
      <w:bookmarkStart w:id="22" w:name="_Toc2630"/>
      <w:r>
        <w:rPr>
          <w:color w:val="auto"/>
          <w:highlight w:val="none"/>
        </w:rPr>
        <w:t>指标改进的绩效激励方案设计</w:t>
      </w:r>
      <w:bookmarkEnd w:id="21"/>
      <w:bookmarkEnd w:id="22"/>
    </w:p>
    <w:p>
      <w:pPr>
        <w:pStyle w:val="5"/>
        <w:ind w:firstLine="480"/>
        <w:rPr>
          <w:color w:val="auto"/>
          <w:highlight w:val="none"/>
        </w:rPr>
      </w:pPr>
      <w:r>
        <w:rPr>
          <w:color w:val="auto"/>
          <w:highlight w:val="none"/>
        </w:rPr>
        <w:t>分析指标适用的绩效方法，将医院需要改进的各项指标综合采用绩效核算激励、科室绩效考核激励、院级考核激励三种方法。同时提供同级医院相关指标的参考值供医院设定目标值</w:t>
      </w:r>
      <w:r>
        <w:rPr>
          <w:rFonts w:hint="eastAsia"/>
          <w:color w:val="auto"/>
          <w:highlight w:val="none"/>
        </w:rPr>
        <w:t>。</w:t>
      </w:r>
    </w:p>
    <w:p>
      <w:pPr>
        <w:pStyle w:val="3"/>
        <w:rPr>
          <w:color w:val="auto"/>
          <w:highlight w:val="none"/>
        </w:rPr>
      </w:pPr>
      <w:bookmarkStart w:id="23" w:name="_Toc5357"/>
      <w:r>
        <w:rPr>
          <w:rFonts w:hint="eastAsia"/>
          <w:color w:val="auto"/>
          <w:highlight w:val="none"/>
        </w:rPr>
        <w:t>配套系统</w:t>
      </w:r>
      <w:bookmarkEnd w:id="9"/>
      <w:bookmarkEnd w:id="10"/>
      <w:r>
        <w:rPr>
          <w:rFonts w:hint="eastAsia"/>
          <w:color w:val="auto"/>
          <w:highlight w:val="none"/>
        </w:rPr>
        <w:t>功能要求</w:t>
      </w:r>
      <w:bookmarkEnd w:id="23"/>
    </w:p>
    <w:p>
      <w:pPr>
        <w:pStyle w:val="4"/>
        <w:rPr>
          <w:color w:val="auto"/>
          <w:highlight w:val="none"/>
        </w:rPr>
      </w:pPr>
      <w:bookmarkStart w:id="24" w:name="_Toc6864"/>
      <w:r>
        <w:rPr>
          <w:color w:val="auto"/>
          <w:highlight w:val="none"/>
        </w:rPr>
        <w:t>W</w:t>
      </w:r>
      <w:r>
        <w:rPr>
          <w:rFonts w:hint="eastAsia"/>
          <w:color w:val="auto"/>
          <w:highlight w:val="none"/>
        </w:rPr>
        <w:t>eb绩效运营平台</w:t>
      </w:r>
      <w:bookmarkEnd w:id="24"/>
    </w:p>
    <w:p>
      <w:pPr>
        <w:pStyle w:val="5"/>
        <w:ind w:firstLine="480"/>
        <w:rPr>
          <w:color w:val="auto"/>
          <w:highlight w:val="none"/>
        </w:rPr>
      </w:pPr>
      <w:r>
        <w:rPr>
          <w:rFonts w:hint="eastAsia"/>
          <w:color w:val="auto"/>
          <w:highlight w:val="none"/>
        </w:rPr>
        <w:t>绩效奖金核算模块应匹配医院的绩效奖金核算方案，支持RBRVS、单价制等核算方法。具体功能要求如下：</w:t>
      </w:r>
    </w:p>
    <w:p>
      <w:pPr>
        <w:pStyle w:val="5"/>
        <w:ind w:firstLine="482"/>
        <w:rPr>
          <w:color w:val="auto"/>
          <w:highlight w:val="none"/>
        </w:rPr>
      </w:pPr>
      <w:r>
        <w:rPr>
          <w:rFonts w:hint="eastAsia"/>
          <w:b/>
          <w:bCs/>
          <w:color w:val="auto"/>
          <w:highlight w:val="none"/>
        </w:rPr>
        <w:t>7.7.1.管理信息基础设置：</w:t>
      </w:r>
      <w:r>
        <w:rPr>
          <w:rFonts w:hint="eastAsia"/>
          <w:color w:val="auto"/>
          <w:highlight w:val="none"/>
        </w:rPr>
        <w:t>包括科室代码、职系维护、员工基本信息（员工代码、所在科室、姓名、职工类别等）等设置和维护。</w:t>
      </w:r>
    </w:p>
    <w:p>
      <w:pPr>
        <w:pStyle w:val="5"/>
        <w:ind w:firstLine="480"/>
        <w:rPr>
          <w:color w:val="auto"/>
          <w:highlight w:val="none"/>
        </w:rPr>
      </w:pPr>
      <w:r>
        <w:rPr>
          <w:rFonts w:hint="eastAsia"/>
          <w:color w:val="auto"/>
          <w:highlight w:val="none"/>
        </w:rPr>
        <w:t>▲7.7.</w:t>
      </w:r>
      <w:r>
        <w:rPr>
          <w:rFonts w:hint="eastAsia"/>
          <w:b/>
          <w:bCs/>
          <w:color w:val="auto"/>
          <w:highlight w:val="none"/>
        </w:rPr>
        <w:t>2.用户管理</w:t>
      </w:r>
      <w:r>
        <w:rPr>
          <w:rFonts w:hint="eastAsia"/>
          <w:color w:val="auto"/>
          <w:highlight w:val="none"/>
        </w:rPr>
        <w:t>：支持设置用户的账号密码，支持在系统查看用户内容权限，支持对用户的增加、修改、删除。</w:t>
      </w:r>
    </w:p>
    <w:p>
      <w:pPr>
        <w:pStyle w:val="5"/>
        <w:ind w:firstLine="480"/>
        <w:rPr>
          <w:color w:val="auto"/>
          <w:highlight w:val="none"/>
        </w:rPr>
      </w:pPr>
      <w:r>
        <w:rPr>
          <w:rFonts w:hint="eastAsia"/>
          <w:color w:val="auto"/>
          <w:highlight w:val="none"/>
        </w:rPr>
        <w:t>▲7.7.</w:t>
      </w:r>
      <w:r>
        <w:rPr>
          <w:rFonts w:hint="eastAsia"/>
          <w:b/>
          <w:bCs/>
          <w:color w:val="auto"/>
          <w:highlight w:val="none"/>
        </w:rPr>
        <w:t>3.权限管理</w:t>
      </w:r>
      <w:r>
        <w:rPr>
          <w:rFonts w:hint="eastAsia"/>
          <w:color w:val="auto"/>
          <w:highlight w:val="none"/>
        </w:rPr>
        <w:t>：设置用户的数据查看权限、填报权限和功能权限，如是否可看到各收费项目的点数，收入数据、成本数据等，支持每张报表的查询权限设置。</w:t>
      </w:r>
    </w:p>
    <w:p>
      <w:pPr>
        <w:pStyle w:val="5"/>
        <w:ind w:firstLine="482"/>
        <w:rPr>
          <w:color w:val="auto"/>
          <w:highlight w:val="none"/>
        </w:rPr>
      </w:pPr>
      <w:r>
        <w:rPr>
          <w:rFonts w:hint="eastAsia"/>
          <w:b/>
          <w:bCs/>
          <w:color w:val="auto"/>
          <w:highlight w:val="none"/>
        </w:rPr>
        <w:t>7.7.4.日志管理：</w:t>
      </w:r>
      <w:r>
        <w:rPr>
          <w:rFonts w:hint="eastAsia"/>
          <w:color w:val="auto"/>
          <w:highlight w:val="none"/>
        </w:rPr>
        <w:t>自动保存用户登录日志、管理员的修改记录日志。</w:t>
      </w:r>
    </w:p>
    <w:p>
      <w:pPr>
        <w:pStyle w:val="5"/>
        <w:ind w:firstLine="482"/>
        <w:rPr>
          <w:color w:val="auto"/>
          <w:highlight w:val="none"/>
        </w:rPr>
      </w:pPr>
      <w:r>
        <w:rPr>
          <w:rFonts w:hint="eastAsia"/>
          <w:b/>
          <w:bCs/>
          <w:color w:val="auto"/>
          <w:highlight w:val="none"/>
        </w:rPr>
        <w:t>7.7.5.数据采集：</w:t>
      </w:r>
      <w:r>
        <w:rPr>
          <w:rFonts w:hint="eastAsia"/>
          <w:color w:val="auto"/>
          <w:highlight w:val="none"/>
        </w:rPr>
        <w:t>对接医院各业务系统数据，设置每个绩效指标参数的数据提取规则，一键自动采集数据。支持表单导入、手工填报等方式采集数据。</w:t>
      </w:r>
    </w:p>
    <w:p>
      <w:pPr>
        <w:pStyle w:val="5"/>
        <w:ind w:firstLine="482"/>
        <w:rPr>
          <w:color w:val="auto"/>
          <w:highlight w:val="none"/>
        </w:rPr>
      </w:pPr>
      <w:r>
        <w:rPr>
          <w:rFonts w:hint="eastAsia"/>
          <w:b/>
          <w:bCs/>
          <w:color w:val="auto"/>
          <w:highlight w:val="none"/>
        </w:rPr>
        <w:t>7.7.6.绩效奖金核算公式设置</w:t>
      </w:r>
      <w:r>
        <w:rPr>
          <w:rFonts w:hint="eastAsia"/>
          <w:color w:val="auto"/>
          <w:highlight w:val="none"/>
        </w:rPr>
        <w:t>：支持根据职系、科室、医疗组、人员类别设置不同的绩效奖金核算公式。</w:t>
      </w:r>
    </w:p>
    <w:p>
      <w:pPr>
        <w:pStyle w:val="5"/>
        <w:ind w:firstLine="482"/>
        <w:rPr>
          <w:b/>
          <w:bCs/>
          <w:color w:val="auto"/>
          <w:highlight w:val="none"/>
        </w:rPr>
      </w:pPr>
      <w:r>
        <w:rPr>
          <w:rFonts w:hint="eastAsia"/>
          <w:b/>
          <w:bCs/>
          <w:color w:val="auto"/>
          <w:highlight w:val="none"/>
        </w:rPr>
        <w:t>7.7.7.多维度工作量数据处理方式</w:t>
      </w:r>
    </w:p>
    <w:p>
      <w:pPr>
        <w:pStyle w:val="5"/>
        <w:ind w:firstLine="480"/>
        <w:rPr>
          <w:color w:val="auto"/>
          <w:highlight w:val="none"/>
        </w:rPr>
      </w:pPr>
      <w:r>
        <w:rPr>
          <w:rFonts w:hint="eastAsia"/>
          <w:color w:val="auto"/>
          <w:highlight w:val="none"/>
        </w:rPr>
        <w:t>（1）科室工作量维护</w:t>
      </w:r>
    </w:p>
    <w:p>
      <w:pPr>
        <w:pStyle w:val="5"/>
        <w:ind w:firstLine="480"/>
        <w:rPr>
          <w:color w:val="auto"/>
          <w:highlight w:val="none"/>
        </w:rPr>
      </w:pPr>
      <w:r>
        <w:rPr>
          <w:rFonts w:hint="eastAsia"/>
          <w:color w:val="auto"/>
          <w:highlight w:val="none"/>
        </w:rPr>
        <w:t>每月自动对照HIS系统，自动在绩效管理系统更新新增科室，且标识新增科室的更新月份。</w:t>
      </w:r>
    </w:p>
    <w:p>
      <w:pPr>
        <w:pStyle w:val="5"/>
        <w:ind w:firstLine="480"/>
        <w:rPr>
          <w:color w:val="auto"/>
          <w:highlight w:val="none"/>
        </w:rPr>
      </w:pPr>
      <w:r>
        <w:rPr>
          <w:rFonts w:hint="eastAsia"/>
          <w:color w:val="auto"/>
          <w:highlight w:val="none"/>
        </w:rPr>
        <w:t>（2）收费项目维护</w:t>
      </w:r>
    </w:p>
    <w:p>
      <w:pPr>
        <w:pStyle w:val="5"/>
        <w:ind w:firstLine="480"/>
        <w:rPr>
          <w:color w:val="auto"/>
          <w:highlight w:val="none"/>
        </w:rPr>
      </w:pPr>
      <w:r>
        <w:rPr>
          <w:rFonts w:hint="eastAsia"/>
          <w:color w:val="auto"/>
          <w:highlight w:val="none"/>
        </w:rPr>
        <w:t>每月自动对照HIS系统，自动在绩效管理系统更新维护收费项目，且标识新增收费类别的更新月份。支持设置每个收费项目点数，包括判断点数、执行点数、护理点数、护理治疗点数等。</w:t>
      </w:r>
    </w:p>
    <w:p>
      <w:pPr>
        <w:pStyle w:val="5"/>
        <w:ind w:firstLine="480"/>
        <w:rPr>
          <w:color w:val="auto"/>
          <w:highlight w:val="none"/>
        </w:rPr>
      </w:pPr>
      <w:r>
        <w:rPr>
          <w:rFonts w:hint="eastAsia"/>
          <w:color w:val="auto"/>
          <w:highlight w:val="none"/>
        </w:rPr>
        <w:t>▲（3）医护贡献度设置</w:t>
      </w:r>
    </w:p>
    <w:p>
      <w:pPr>
        <w:pStyle w:val="5"/>
        <w:ind w:firstLine="480"/>
        <w:rPr>
          <w:color w:val="auto"/>
          <w:highlight w:val="none"/>
        </w:rPr>
      </w:pPr>
      <w:r>
        <w:rPr>
          <w:rFonts w:hint="eastAsia"/>
          <w:color w:val="auto"/>
          <w:highlight w:val="none"/>
        </w:rPr>
        <w:t>收费项目不同科室医护参与程度不同，系统必须支持收费项目不同科室设置不同点数，但是总点数一致。</w:t>
      </w:r>
    </w:p>
    <w:p>
      <w:pPr>
        <w:pStyle w:val="5"/>
        <w:ind w:firstLine="480"/>
        <w:rPr>
          <w:color w:val="auto"/>
          <w:highlight w:val="none"/>
        </w:rPr>
      </w:pPr>
      <w:r>
        <w:rPr>
          <w:rFonts w:hint="eastAsia"/>
          <w:color w:val="auto"/>
          <w:highlight w:val="none"/>
        </w:rPr>
        <w:t>▲（4）节假日/周末工作量特殊处理</w:t>
      </w:r>
    </w:p>
    <w:p>
      <w:pPr>
        <w:pStyle w:val="5"/>
        <w:ind w:firstLine="480"/>
        <w:rPr>
          <w:color w:val="auto"/>
          <w:highlight w:val="none"/>
        </w:rPr>
      </w:pPr>
      <w:r>
        <w:rPr>
          <w:rFonts w:hint="eastAsia"/>
          <w:color w:val="auto"/>
          <w:highlight w:val="none"/>
        </w:rPr>
        <w:t>支持对节假日或周末的工作量设置特殊核算规则，或者设置不同点数。</w:t>
      </w:r>
    </w:p>
    <w:p>
      <w:pPr>
        <w:pStyle w:val="5"/>
        <w:ind w:firstLine="480"/>
        <w:rPr>
          <w:color w:val="auto"/>
          <w:szCs w:val="24"/>
          <w:highlight w:val="none"/>
        </w:rPr>
      </w:pPr>
      <w:r>
        <w:rPr>
          <w:rFonts w:hint="eastAsia"/>
          <w:color w:val="auto"/>
          <w:szCs w:val="24"/>
          <w:highlight w:val="none"/>
        </w:rPr>
        <w:t>（5）</w:t>
      </w:r>
      <w:r>
        <w:rPr>
          <w:color w:val="auto"/>
          <w:szCs w:val="24"/>
          <w:highlight w:val="none"/>
        </w:rPr>
        <w:t>项目绩效</w:t>
      </w:r>
      <w:r>
        <w:rPr>
          <w:rFonts w:hint="eastAsia"/>
          <w:color w:val="auto"/>
          <w:szCs w:val="24"/>
          <w:highlight w:val="none"/>
        </w:rPr>
        <w:t>限制</w:t>
      </w:r>
    </w:p>
    <w:p>
      <w:pPr>
        <w:pStyle w:val="5"/>
        <w:ind w:firstLine="480"/>
        <w:rPr>
          <w:color w:val="auto"/>
          <w:szCs w:val="24"/>
          <w:highlight w:val="none"/>
        </w:rPr>
      </w:pPr>
      <w:r>
        <w:rPr>
          <w:rFonts w:hint="eastAsia"/>
          <w:color w:val="auto"/>
          <w:szCs w:val="24"/>
          <w:highlight w:val="none"/>
        </w:rPr>
        <w:t>限定</w:t>
      </w:r>
      <w:r>
        <w:rPr>
          <w:color w:val="auto"/>
          <w:szCs w:val="24"/>
          <w:highlight w:val="none"/>
        </w:rPr>
        <w:t>外送项目（</w:t>
      </w:r>
      <w:r>
        <w:rPr>
          <w:rFonts w:hint="eastAsia"/>
          <w:color w:val="auto"/>
          <w:szCs w:val="24"/>
          <w:highlight w:val="none"/>
        </w:rPr>
        <w:t>如</w:t>
      </w:r>
      <w:r>
        <w:rPr>
          <w:color w:val="auto"/>
          <w:szCs w:val="24"/>
          <w:highlight w:val="none"/>
        </w:rPr>
        <w:t>外送检验）</w:t>
      </w:r>
      <w:r>
        <w:rPr>
          <w:rFonts w:hint="eastAsia"/>
          <w:color w:val="auto"/>
          <w:szCs w:val="24"/>
          <w:highlight w:val="none"/>
        </w:rPr>
        <w:t>的</w:t>
      </w:r>
      <w:r>
        <w:rPr>
          <w:color w:val="auto"/>
          <w:szCs w:val="24"/>
          <w:highlight w:val="none"/>
        </w:rPr>
        <w:t>执行点值，</w:t>
      </w:r>
      <w:r>
        <w:rPr>
          <w:rFonts w:hint="eastAsia"/>
          <w:color w:val="auto"/>
          <w:szCs w:val="24"/>
          <w:highlight w:val="none"/>
        </w:rPr>
        <w:t>通过</w:t>
      </w:r>
      <w:r>
        <w:rPr>
          <w:color w:val="auto"/>
          <w:szCs w:val="24"/>
          <w:highlight w:val="none"/>
        </w:rPr>
        <w:t>直观的</w:t>
      </w:r>
      <w:r>
        <w:rPr>
          <w:rFonts w:hint="eastAsia"/>
          <w:color w:val="auto"/>
          <w:szCs w:val="24"/>
          <w:highlight w:val="none"/>
        </w:rPr>
        <w:t>功能</w:t>
      </w:r>
      <w:r>
        <w:rPr>
          <w:color w:val="auto"/>
          <w:szCs w:val="24"/>
          <w:highlight w:val="none"/>
        </w:rPr>
        <w:t>键，</w:t>
      </w:r>
      <w:r>
        <w:rPr>
          <w:rFonts w:hint="eastAsia"/>
          <w:color w:val="auto"/>
          <w:szCs w:val="24"/>
          <w:highlight w:val="none"/>
        </w:rPr>
        <w:t>避免该项目</w:t>
      </w:r>
      <w:r>
        <w:rPr>
          <w:color w:val="auto"/>
          <w:szCs w:val="24"/>
          <w:highlight w:val="none"/>
        </w:rPr>
        <w:t>点值</w:t>
      </w:r>
      <w:r>
        <w:rPr>
          <w:rFonts w:hint="eastAsia"/>
          <w:color w:val="auto"/>
          <w:szCs w:val="24"/>
          <w:highlight w:val="none"/>
        </w:rPr>
        <w:t>计入</w:t>
      </w:r>
      <w:r>
        <w:rPr>
          <w:color w:val="auto"/>
          <w:szCs w:val="24"/>
          <w:highlight w:val="none"/>
        </w:rPr>
        <w:t>科室，并根据实际增减</w:t>
      </w:r>
      <w:r>
        <w:rPr>
          <w:rFonts w:hint="eastAsia"/>
          <w:color w:val="auto"/>
          <w:szCs w:val="24"/>
          <w:highlight w:val="none"/>
        </w:rPr>
        <w:t>外送</w:t>
      </w:r>
      <w:r>
        <w:rPr>
          <w:color w:val="auto"/>
          <w:szCs w:val="24"/>
          <w:highlight w:val="none"/>
        </w:rPr>
        <w:t>项目</w:t>
      </w:r>
      <w:r>
        <w:rPr>
          <w:rFonts w:hint="eastAsia"/>
          <w:color w:val="auto"/>
          <w:szCs w:val="24"/>
          <w:highlight w:val="none"/>
        </w:rPr>
        <w:t>。</w:t>
      </w:r>
    </w:p>
    <w:p>
      <w:pPr>
        <w:pStyle w:val="5"/>
        <w:ind w:firstLine="480"/>
        <w:rPr>
          <w:color w:val="auto"/>
          <w:szCs w:val="24"/>
          <w:highlight w:val="none"/>
        </w:rPr>
      </w:pPr>
      <w:r>
        <w:rPr>
          <w:rFonts w:hint="eastAsia"/>
          <w:color w:val="auto"/>
          <w:szCs w:val="24"/>
          <w:highlight w:val="none"/>
        </w:rPr>
        <w:t>（6）独立项目前台</w:t>
      </w:r>
      <w:r>
        <w:rPr>
          <w:color w:val="auto"/>
          <w:szCs w:val="24"/>
          <w:highlight w:val="none"/>
        </w:rPr>
        <w:t>维护</w:t>
      </w:r>
    </w:p>
    <w:p>
      <w:pPr>
        <w:pStyle w:val="5"/>
        <w:ind w:firstLine="480"/>
        <w:rPr>
          <w:color w:val="auto"/>
          <w:szCs w:val="24"/>
          <w:highlight w:val="none"/>
        </w:rPr>
      </w:pPr>
      <w:r>
        <w:rPr>
          <w:rFonts w:hint="eastAsia"/>
          <w:color w:val="auto"/>
          <w:szCs w:val="24"/>
          <w:highlight w:val="none"/>
        </w:rPr>
        <w:t>修改的独立项目尽量能在前台看到及修改，便于维护。比如：</w:t>
      </w:r>
      <w:r>
        <w:rPr>
          <w:color w:val="auto"/>
          <w:szCs w:val="24"/>
          <w:highlight w:val="none"/>
        </w:rPr>
        <w:t>设置cf值</w:t>
      </w:r>
      <w:r>
        <w:rPr>
          <w:rFonts w:hint="eastAsia"/>
          <w:color w:val="auto"/>
          <w:szCs w:val="24"/>
          <w:highlight w:val="none"/>
        </w:rPr>
        <w:t>来调整各单元</w:t>
      </w:r>
      <w:r>
        <w:rPr>
          <w:color w:val="auto"/>
          <w:szCs w:val="24"/>
          <w:highlight w:val="none"/>
        </w:rPr>
        <w:t>绩效发放比例，</w:t>
      </w:r>
      <w:r>
        <w:rPr>
          <w:rFonts w:hint="eastAsia"/>
          <w:color w:val="auto"/>
          <w:szCs w:val="24"/>
          <w:highlight w:val="none"/>
        </w:rPr>
        <w:t>该</w:t>
      </w:r>
      <w:r>
        <w:rPr>
          <w:color w:val="auto"/>
          <w:szCs w:val="24"/>
          <w:highlight w:val="none"/>
        </w:rPr>
        <w:t>cf值能在前台直接维护，不需进入后台修改程序</w:t>
      </w:r>
      <w:r>
        <w:rPr>
          <w:rFonts w:hint="eastAsia"/>
          <w:color w:val="auto"/>
          <w:szCs w:val="24"/>
          <w:highlight w:val="none"/>
        </w:rPr>
        <w:t>。</w:t>
      </w:r>
    </w:p>
    <w:p>
      <w:pPr>
        <w:pStyle w:val="5"/>
        <w:ind w:firstLine="480"/>
        <w:rPr>
          <w:color w:val="auto"/>
          <w:highlight w:val="none"/>
        </w:rPr>
      </w:pPr>
    </w:p>
    <w:p>
      <w:pPr>
        <w:pStyle w:val="5"/>
        <w:ind w:firstLine="482"/>
        <w:rPr>
          <w:b/>
          <w:bCs/>
          <w:color w:val="auto"/>
          <w:highlight w:val="none"/>
        </w:rPr>
      </w:pPr>
      <w:r>
        <w:rPr>
          <w:rFonts w:hint="eastAsia"/>
          <w:b/>
          <w:bCs/>
          <w:color w:val="auto"/>
          <w:highlight w:val="none"/>
        </w:rPr>
        <w:t>7.7.8.成本数据处理方式</w:t>
      </w:r>
    </w:p>
    <w:p>
      <w:pPr>
        <w:pStyle w:val="5"/>
        <w:ind w:firstLine="480"/>
        <w:rPr>
          <w:color w:val="auto"/>
          <w:highlight w:val="none"/>
        </w:rPr>
      </w:pPr>
      <w:r>
        <w:rPr>
          <w:rFonts w:hint="eastAsia"/>
          <w:color w:val="auto"/>
          <w:highlight w:val="none"/>
        </w:rPr>
        <w:t>（1）物资维护</w:t>
      </w:r>
    </w:p>
    <w:p>
      <w:pPr>
        <w:pStyle w:val="5"/>
        <w:ind w:firstLine="480"/>
        <w:rPr>
          <w:color w:val="auto"/>
          <w:highlight w:val="none"/>
        </w:rPr>
      </w:pPr>
      <w:r>
        <w:rPr>
          <w:rFonts w:hint="eastAsia"/>
          <w:color w:val="auto"/>
          <w:highlight w:val="none"/>
        </w:rPr>
        <w:t>每月自动对照业务系统，自动在绩效管理系统更新新增耗材基础信息（包括编码、单价等），且标识新增耗材的更新月份。</w:t>
      </w:r>
    </w:p>
    <w:p>
      <w:pPr>
        <w:pStyle w:val="5"/>
        <w:ind w:firstLine="480"/>
        <w:rPr>
          <w:color w:val="auto"/>
          <w:highlight w:val="none"/>
        </w:rPr>
      </w:pPr>
      <w:r>
        <w:rPr>
          <w:rFonts w:hint="eastAsia"/>
          <w:color w:val="auto"/>
          <w:highlight w:val="none"/>
        </w:rPr>
        <w:t>（2）成本核减比例设置</w:t>
      </w:r>
    </w:p>
    <w:p>
      <w:pPr>
        <w:pStyle w:val="5"/>
        <w:ind w:firstLine="480"/>
        <w:rPr>
          <w:color w:val="auto"/>
          <w:highlight w:val="none"/>
        </w:rPr>
      </w:pPr>
      <w:r>
        <w:rPr>
          <w:rFonts w:hint="eastAsia"/>
          <w:color w:val="auto"/>
          <w:highlight w:val="none"/>
        </w:rPr>
        <w:t>支持不同类别耗材核减不同比例，支持不同编码耗材核减不同比例。支持不同来源的设备折旧核减不同比例。支持不同职工类别的人事成本核减不同比例。</w:t>
      </w:r>
    </w:p>
    <w:p>
      <w:pPr>
        <w:pStyle w:val="5"/>
        <w:ind w:firstLine="480"/>
        <w:rPr>
          <w:color w:val="auto"/>
          <w:highlight w:val="none"/>
        </w:rPr>
      </w:pPr>
      <w:r>
        <w:rPr>
          <w:rFonts w:hint="eastAsia"/>
          <w:color w:val="auto"/>
          <w:highlight w:val="none"/>
        </w:rPr>
        <w:t>（3）物资领用平移设置</w:t>
      </w:r>
    </w:p>
    <w:p>
      <w:pPr>
        <w:pStyle w:val="5"/>
        <w:ind w:firstLine="480"/>
        <w:rPr>
          <w:color w:val="auto"/>
          <w:highlight w:val="none"/>
        </w:rPr>
      </w:pPr>
      <w:r>
        <w:rPr>
          <w:rFonts w:hint="eastAsia"/>
          <w:color w:val="auto"/>
          <w:highlight w:val="none"/>
        </w:rPr>
        <w:t>如科室当月不可收费材料核减金额较高，支持此核减金额进行多月平摊。</w:t>
      </w:r>
    </w:p>
    <w:p>
      <w:pPr>
        <w:pStyle w:val="5"/>
        <w:ind w:firstLine="480"/>
        <w:rPr>
          <w:color w:val="auto"/>
          <w:highlight w:val="none"/>
        </w:rPr>
      </w:pPr>
      <w:r>
        <w:rPr>
          <w:rFonts w:hint="eastAsia"/>
          <w:color w:val="auto"/>
          <w:highlight w:val="none"/>
        </w:rPr>
        <w:t>（4）综合病区成本分摊设置</w:t>
      </w:r>
    </w:p>
    <w:p>
      <w:pPr>
        <w:pStyle w:val="5"/>
        <w:ind w:firstLine="480"/>
        <w:rPr>
          <w:color w:val="auto"/>
          <w:highlight w:val="none"/>
        </w:rPr>
      </w:pPr>
      <w:r>
        <w:rPr>
          <w:rFonts w:hint="eastAsia"/>
          <w:color w:val="auto"/>
          <w:highlight w:val="none"/>
        </w:rPr>
        <w:t>支持综合病区按照科室床日数、收入等分摊到相应科室。</w:t>
      </w:r>
    </w:p>
    <w:p>
      <w:pPr>
        <w:pStyle w:val="5"/>
        <w:ind w:firstLine="480"/>
        <w:rPr>
          <w:color w:val="auto"/>
          <w:highlight w:val="none"/>
        </w:rPr>
      </w:pPr>
      <w:r>
        <w:rPr>
          <w:rFonts w:hint="eastAsia"/>
          <w:color w:val="auto"/>
          <w:highlight w:val="none"/>
        </w:rPr>
        <w:t>（5）平台科室</w:t>
      </w:r>
      <w:r>
        <w:rPr>
          <w:color w:val="auto"/>
          <w:highlight w:val="none"/>
        </w:rPr>
        <w:t>成本</w:t>
      </w:r>
      <w:r>
        <w:rPr>
          <w:rFonts w:hint="eastAsia"/>
          <w:color w:val="auto"/>
          <w:highlight w:val="none"/>
        </w:rPr>
        <w:t>设置</w:t>
      </w:r>
    </w:p>
    <w:p>
      <w:pPr>
        <w:pStyle w:val="5"/>
        <w:ind w:firstLine="480"/>
        <w:rPr>
          <w:color w:val="auto"/>
          <w:highlight w:val="none"/>
        </w:rPr>
      </w:pPr>
      <w:r>
        <w:rPr>
          <w:rFonts w:hint="eastAsia"/>
          <w:color w:val="auto"/>
          <w:szCs w:val="24"/>
          <w:highlight w:val="none"/>
        </w:rPr>
        <w:t>麻醉科、</w:t>
      </w:r>
      <w:r>
        <w:rPr>
          <w:color w:val="auto"/>
          <w:szCs w:val="24"/>
          <w:highlight w:val="none"/>
        </w:rPr>
        <w:t>内镜室、介入治疗室</w:t>
      </w:r>
      <w:r>
        <w:rPr>
          <w:rFonts w:hint="eastAsia"/>
          <w:color w:val="auto"/>
          <w:szCs w:val="24"/>
          <w:highlight w:val="none"/>
        </w:rPr>
        <w:t>等平台科室的维修费分摊（目前分摊</w:t>
      </w:r>
      <w:r>
        <w:rPr>
          <w:color w:val="auto"/>
          <w:szCs w:val="24"/>
          <w:highlight w:val="none"/>
        </w:rPr>
        <w:t>存在问题</w:t>
      </w:r>
      <w:r>
        <w:rPr>
          <w:rFonts w:hint="eastAsia"/>
          <w:color w:val="auto"/>
          <w:szCs w:val="24"/>
          <w:highlight w:val="none"/>
        </w:rPr>
        <w:t>）</w:t>
      </w:r>
    </w:p>
    <w:p>
      <w:pPr>
        <w:pStyle w:val="5"/>
        <w:ind w:firstLine="482"/>
        <w:rPr>
          <w:b/>
          <w:bCs/>
          <w:color w:val="auto"/>
          <w:highlight w:val="none"/>
        </w:rPr>
      </w:pPr>
      <w:r>
        <w:rPr>
          <w:rFonts w:hint="eastAsia"/>
          <w:b/>
          <w:bCs/>
          <w:color w:val="auto"/>
          <w:highlight w:val="none"/>
        </w:rPr>
        <w:t>7.7.9.报表查询</w:t>
      </w:r>
    </w:p>
    <w:p>
      <w:pPr>
        <w:pStyle w:val="5"/>
        <w:ind w:firstLine="480"/>
        <w:rPr>
          <w:color w:val="auto"/>
          <w:highlight w:val="none"/>
        </w:rPr>
      </w:pPr>
      <w:r>
        <w:rPr>
          <w:rFonts w:hint="eastAsia"/>
          <w:color w:val="auto"/>
          <w:highlight w:val="none"/>
        </w:rPr>
        <w:t>（1）奖金查询</w:t>
      </w:r>
    </w:p>
    <w:p>
      <w:pPr>
        <w:pStyle w:val="5"/>
        <w:ind w:firstLine="480"/>
        <w:rPr>
          <w:color w:val="auto"/>
          <w:highlight w:val="none"/>
        </w:rPr>
      </w:pPr>
      <w:r>
        <w:rPr>
          <w:rFonts w:hint="eastAsia"/>
          <w:color w:val="auto"/>
          <w:highlight w:val="none"/>
        </w:rPr>
        <w:t>奖金查询。支持各科室绩效奖金核算公式查询、各核算指标汇总查询。</w:t>
      </w:r>
    </w:p>
    <w:p>
      <w:pPr>
        <w:pStyle w:val="5"/>
        <w:ind w:firstLine="480"/>
        <w:rPr>
          <w:color w:val="auto"/>
          <w:szCs w:val="24"/>
          <w:highlight w:val="none"/>
        </w:rPr>
      </w:pPr>
      <w:r>
        <w:rPr>
          <w:rFonts w:hint="eastAsia"/>
          <w:color w:val="auto"/>
          <w:szCs w:val="24"/>
          <w:highlight w:val="none"/>
        </w:rPr>
        <w:t>能按</w:t>
      </w:r>
      <w:r>
        <w:rPr>
          <w:color w:val="auto"/>
          <w:szCs w:val="24"/>
          <w:highlight w:val="none"/>
        </w:rPr>
        <w:t>全院一张床的模式核算</w:t>
      </w:r>
      <w:r>
        <w:rPr>
          <w:rFonts w:hint="eastAsia"/>
          <w:color w:val="auto"/>
          <w:szCs w:val="24"/>
          <w:highlight w:val="none"/>
        </w:rPr>
        <w:t>绩效，</w:t>
      </w:r>
      <w:r>
        <w:rPr>
          <w:color w:val="auto"/>
          <w:szCs w:val="24"/>
          <w:highlight w:val="none"/>
        </w:rPr>
        <w:t>提供医疗组、</w:t>
      </w:r>
      <w:r>
        <w:rPr>
          <w:rFonts w:hint="eastAsia"/>
          <w:color w:val="auto"/>
          <w:szCs w:val="24"/>
          <w:highlight w:val="none"/>
        </w:rPr>
        <w:t>医护</w:t>
      </w:r>
      <w:r>
        <w:rPr>
          <w:color w:val="auto"/>
          <w:szCs w:val="24"/>
          <w:highlight w:val="none"/>
        </w:rPr>
        <w:t>单元、科室</w:t>
      </w:r>
      <w:r>
        <w:rPr>
          <w:rFonts w:hint="eastAsia"/>
          <w:color w:val="auto"/>
          <w:szCs w:val="24"/>
          <w:highlight w:val="none"/>
        </w:rPr>
        <w:t>、各</w:t>
      </w:r>
      <w:r>
        <w:rPr>
          <w:color w:val="auto"/>
          <w:szCs w:val="24"/>
          <w:highlight w:val="none"/>
        </w:rPr>
        <w:t>系统</w:t>
      </w:r>
      <w:r>
        <w:rPr>
          <w:rFonts w:hint="eastAsia"/>
          <w:color w:val="auto"/>
          <w:szCs w:val="24"/>
          <w:highlight w:val="none"/>
        </w:rPr>
        <w:t>（医护技），</w:t>
      </w:r>
      <w:r>
        <w:rPr>
          <w:color w:val="auto"/>
          <w:szCs w:val="24"/>
          <w:highlight w:val="none"/>
        </w:rPr>
        <w:t>逐级联动的</w:t>
      </w:r>
      <w:r>
        <w:rPr>
          <w:rFonts w:hint="eastAsia"/>
          <w:color w:val="auto"/>
          <w:szCs w:val="24"/>
          <w:highlight w:val="none"/>
        </w:rPr>
        <w:t>核算</w:t>
      </w:r>
      <w:r>
        <w:rPr>
          <w:color w:val="auto"/>
          <w:szCs w:val="24"/>
          <w:highlight w:val="none"/>
        </w:rPr>
        <w:t>、汇总、查询</w:t>
      </w:r>
      <w:r>
        <w:rPr>
          <w:rFonts w:hint="eastAsia"/>
          <w:color w:val="auto"/>
          <w:szCs w:val="24"/>
          <w:highlight w:val="none"/>
        </w:rPr>
        <w:t>功能</w:t>
      </w:r>
      <w:r>
        <w:rPr>
          <w:color w:val="auto"/>
          <w:szCs w:val="24"/>
          <w:highlight w:val="none"/>
        </w:rPr>
        <w:t>，并能做出直观的</w:t>
      </w:r>
      <w:r>
        <w:rPr>
          <w:rFonts w:hint="eastAsia"/>
          <w:color w:val="auto"/>
          <w:szCs w:val="24"/>
          <w:highlight w:val="none"/>
        </w:rPr>
        <w:t>二维</w:t>
      </w:r>
      <w:r>
        <w:rPr>
          <w:color w:val="auto"/>
          <w:szCs w:val="24"/>
          <w:highlight w:val="none"/>
        </w:rPr>
        <w:t>数据</w:t>
      </w:r>
      <w:r>
        <w:rPr>
          <w:rFonts w:hint="eastAsia"/>
          <w:color w:val="auto"/>
          <w:szCs w:val="24"/>
          <w:highlight w:val="none"/>
        </w:rPr>
        <w:t>报表，</w:t>
      </w:r>
      <w:r>
        <w:rPr>
          <w:color w:val="auto"/>
          <w:szCs w:val="24"/>
          <w:highlight w:val="none"/>
        </w:rPr>
        <w:t>便于</w:t>
      </w:r>
      <w:r>
        <w:rPr>
          <w:rFonts w:hint="eastAsia"/>
          <w:color w:val="auto"/>
          <w:szCs w:val="24"/>
          <w:highlight w:val="none"/>
        </w:rPr>
        <w:t>检查</w:t>
      </w:r>
      <w:r>
        <w:rPr>
          <w:color w:val="auto"/>
          <w:szCs w:val="24"/>
          <w:highlight w:val="none"/>
        </w:rPr>
        <w:t>和核对。</w:t>
      </w:r>
      <w:r>
        <w:rPr>
          <w:rFonts w:hint="eastAsia"/>
          <w:color w:val="auto"/>
          <w:szCs w:val="24"/>
          <w:highlight w:val="none"/>
        </w:rPr>
        <w:t>（比如</w:t>
      </w:r>
      <w:r>
        <w:rPr>
          <w:color w:val="auto"/>
          <w:szCs w:val="24"/>
          <w:highlight w:val="none"/>
        </w:rPr>
        <w:t>：</w:t>
      </w:r>
      <w:r>
        <w:rPr>
          <w:rFonts w:hint="eastAsia"/>
          <w:color w:val="auto"/>
          <w:szCs w:val="24"/>
          <w:highlight w:val="none"/>
        </w:rPr>
        <w:t>提供某科室具体收费项目的判读、执行等累计绩效的明细查询功能）</w:t>
      </w:r>
    </w:p>
    <w:p>
      <w:pPr>
        <w:pStyle w:val="5"/>
        <w:ind w:firstLine="480"/>
        <w:rPr>
          <w:color w:val="auto"/>
          <w:highlight w:val="none"/>
        </w:rPr>
      </w:pPr>
    </w:p>
    <w:p>
      <w:pPr>
        <w:pStyle w:val="5"/>
        <w:ind w:firstLine="480"/>
        <w:rPr>
          <w:color w:val="auto"/>
          <w:highlight w:val="none"/>
        </w:rPr>
      </w:pPr>
      <w:r>
        <w:rPr>
          <w:rFonts w:hint="eastAsia"/>
          <w:color w:val="auto"/>
          <w:highlight w:val="none"/>
        </w:rPr>
        <w:t>（2）工作量查询</w:t>
      </w:r>
    </w:p>
    <w:p>
      <w:pPr>
        <w:pStyle w:val="5"/>
        <w:ind w:firstLine="480"/>
        <w:rPr>
          <w:color w:val="auto"/>
          <w:highlight w:val="none"/>
        </w:rPr>
      </w:pPr>
      <w:r>
        <w:rPr>
          <w:rFonts w:hint="eastAsia"/>
          <w:color w:val="auto"/>
          <w:highlight w:val="none"/>
        </w:rPr>
        <w:t>门诊、住院明细账查询。支持按照每个病人的每一笔收费明细查询，支持根据开单科室、执行科室、收费项目、收费项目、开单人、执行人汇总的收费明细。</w:t>
      </w:r>
    </w:p>
    <w:p>
      <w:pPr>
        <w:pStyle w:val="5"/>
        <w:ind w:firstLine="480"/>
        <w:rPr>
          <w:color w:val="auto"/>
          <w:highlight w:val="none"/>
        </w:rPr>
      </w:pPr>
      <w:r>
        <w:rPr>
          <w:rFonts w:hint="eastAsia"/>
          <w:color w:val="auto"/>
          <w:highlight w:val="none"/>
        </w:rPr>
        <w:t>挂号明细账查询。支持查询具体每个病人的每一笔挂号明细。</w:t>
      </w:r>
    </w:p>
    <w:p>
      <w:pPr>
        <w:pStyle w:val="5"/>
        <w:ind w:firstLine="480"/>
        <w:rPr>
          <w:color w:val="auto"/>
          <w:highlight w:val="none"/>
        </w:rPr>
      </w:pPr>
      <w:r>
        <w:rPr>
          <w:rFonts w:hint="eastAsia"/>
          <w:color w:val="auto"/>
          <w:highlight w:val="none"/>
        </w:rPr>
        <w:t>床日数据查询。支持查询各核算单元的床日总数，支持综合病区对应科室的床日数据查询。</w:t>
      </w:r>
    </w:p>
    <w:p>
      <w:pPr>
        <w:pStyle w:val="5"/>
        <w:ind w:firstLine="480"/>
        <w:rPr>
          <w:color w:val="auto"/>
          <w:szCs w:val="24"/>
          <w:highlight w:val="none"/>
        </w:rPr>
      </w:pPr>
      <w:r>
        <w:rPr>
          <w:rFonts w:hint="eastAsia"/>
          <w:color w:val="auto"/>
          <w:szCs w:val="24"/>
          <w:highlight w:val="none"/>
        </w:rPr>
        <w:t>科室绩效表中</w:t>
      </w:r>
      <w:r>
        <w:rPr>
          <w:color w:val="auto"/>
          <w:szCs w:val="24"/>
          <w:highlight w:val="none"/>
        </w:rPr>
        <w:t>，</w:t>
      </w:r>
      <w:r>
        <w:rPr>
          <w:rFonts w:hint="eastAsia"/>
          <w:color w:val="auto"/>
          <w:szCs w:val="24"/>
          <w:highlight w:val="none"/>
        </w:rPr>
        <w:t>增加</w:t>
      </w:r>
      <w:r>
        <w:rPr>
          <w:color w:val="auto"/>
          <w:szCs w:val="24"/>
          <w:highlight w:val="none"/>
        </w:rPr>
        <w:t>标识，表明</w:t>
      </w:r>
      <w:r>
        <w:rPr>
          <w:rFonts w:hint="eastAsia"/>
          <w:color w:val="auto"/>
          <w:szCs w:val="24"/>
          <w:highlight w:val="none"/>
        </w:rPr>
        <w:t>该项目</w:t>
      </w:r>
      <w:r>
        <w:rPr>
          <w:color w:val="auto"/>
          <w:szCs w:val="24"/>
          <w:highlight w:val="none"/>
        </w:rPr>
        <w:t>绩效</w:t>
      </w:r>
      <w:r>
        <w:rPr>
          <w:rFonts w:hint="eastAsia"/>
          <w:color w:val="auto"/>
          <w:szCs w:val="24"/>
          <w:highlight w:val="none"/>
        </w:rPr>
        <w:t>来源，</w:t>
      </w:r>
      <w:r>
        <w:rPr>
          <w:color w:val="auto"/>
          <w:szCs w:val="24"/>
          <w:highlight w:val="none"/>
        </w:rPr>
        <w:t>是本部门</w:t>
      </w:r>
      <w:r>
        <w:rPr>
          <w:rFonts w:hint="eastAsia"/>
          <w:color w:val="auto"/>
          <w:szCs w:val="24"/>
          <w:highlight w:val="none"/>
        </w:rPr>
        <w:t>自收，</w:t>
      </w:r>
      <w:r>
        <w:rPr>
          <w:color w:val="auto"/>
          <w:szCs w:val="24"/>
          <w:highlight w:val="none"/>
        </w:rPr>
        <w:t>还是</w:t>
      </w:r>
      <w:r>
        <w:rPr>
          <w:rFonts w:hint="eastAsia"/>
          <w:color w:val="auto"/>
          <w:szCs w:val="24"/>
          <w:highlight w:val="none"/>
        </w:rPr>
        <w:t>其他</w:t>
      </w:r>
      <w:r>
        <w:rPr>
          <w:color w:val="auto"/>
          <w:szCs w:val="24"/>
          <w:highlight w:val="none"/>
        </w:rPr>
        <w:t>科室返还（</w:t>
      </w:r>
      <w:r>
        <w:rPr>
          <w:rFonts w:hint="eastAsia"/>
          <w:color w:val="auto"/>
          <w:szCs w:val="24"/>
          <w:highlight w:val="none"/>
        </w:rPr>
        <w:t>如</w:t>
      </w:r>
      <w:r>
        <w:rPr>
          <w:color w:val="auto"/>
          <w:szCs w:val="24"/>
          <w:highlight w:val="none"/>
        </w:rPr>
        <w:t>重症返还、鱼峰</w:t>
      </w:r>
      <w:r>
        <w:rPr>
          <w:rFonts w:hint="eastAsia"/>
          <w:color w:val="auto"/>
          <w:szCs w:val="24"/>
          <w:highlight w:val="none"/>
        </w:rPr>
        <w:t>双算</w:t>
      </w:r>
      <w:r>
        <w:rPr>
          <w:color w:val="auto"/>
          <w:szCs w:val="24"/>
          <w:highlight w:val="none"/>
        </w:rPr>
        <w:t>返还、特需</w:t>
      </w:r>
      <w:r>
        <w:rPr>
          <w:rFonts w:hint="eastAsia"/>
          <w:color w:val="auto"/>
          <w:szCs w:val="24"/>
          <w:highlight w:val="none"/>
        </w:rPr>
        <w:t>返还</w:t>
      </w:r>
      <w:r>
        <w:rPr>
          <w:color w:val="auto"/>
          <w:szCs w:val="24"/>
          <w:highlight w:val="none"/>
        </w:rPr>
        <w:t>、手麻返还等等）</w:t>
      </w:r>
    </w:p>
    <w:p>
      <w:pPr>
        <w:pStyle w:val="5"/>
        <w:ind w:firstLine="480"/>
        <w:rPr>
          <w:color w:val="auto"/>
          <w:highlight w:val="none"/>
        </w:rPr>
      </w:pPr>
      <w:r>
        <w:rPr>
          <w:rFonts w:hint="eastAsia"/>
          <w:color w:val="auto"/>
          <w:szCs w:val="24"/>
          <w:highlight w:val="none"/>
        </w:rPr>
        <w:t>并入大科的独立子表，如疼痛科、内镜</w:t>
      </w:r>
      <w:r>
        <w:rPr>
          <w:color w:val="auto"/>
          <w:szCs w:val="24"/>
          <w:highlight w:val="none"/>
        </w:rPr>
        <w:t>-呼吸之类的数据已并在大科，在大科绩效中加个备注</w:t>
      </w:r>
      <w:r>
        <w:rPr>
          <w:rFonts w:hint="eastAsia"/>
          <w:color w:val="auto"/>
          <w:szCs w:val="24"/>
          <w:highlight w:val="none"/>
        </w:rPr>
        <w:t>，</w:t>
      </w:r>
      <w:r>
        <w:rPr>
          <w:color w:val="auto"/>
          <w:szCs w:val="24"/>
          <w:highlight w:val="none"/>
        </w:rPr>
        <w:t>表明已并入</w:t>
      </w:r>
      <w:r>
        <w:rPr>
          <w:rFonts w:hint="eastAsia"/>
          <w:color w:val="auto"/>
          <w:szCs w:val="24"/>
          <w:highlight w:val="none"/>
        </w:rPr>
        <w:t>。</w:t>
      </w:r>
    </w:p>
    <w:p>
      <w:pPr>
        <w:pStyle w:val="5"/>
        <w:ind w:firstLine="480"/>
        <w:rPr>
          <w:color w:val="auto"/>
          <w:highlight w:val="none"/>
        </w:rPr>
      </w:pPr>
      <w:r>
        <w:rPr>
          <w:rFonts w:hint="eastAsia"/>
          <w:color w:val="auto"/>
          <w:highlight w:val="none"/>
        </w:rPr>
        <w:t>（3）成本查询</w:t>
      </w:r>
    </w:p>
    <w:p>
      <w:pPr>
        <w:pStyle w:val="5"/>
        <w:ind w:firstLine="480"/>
        <w:rPr>
          <w:color w:val="auto"/>
          <w:highlight w:val="none"/>
        </w:rPr>
      </w:pPr>
      <w:r>
        <w:rPr>
          <w:rFonts w:hint="eastAsia"/>
          <w:color w:val="auto"/>
          <w:highlight w:val="none"/>
        </w:rPr>
        <w:t>成本汇总查询。支持按照科室查询每项成本的金额。</w:t>
      </w:r>
    </w:p>
    <w:p>
      <w:pPr>
        <w:pStyle w:val="5"/>
        <w:ind w:firstLine="480"/>
        <w:rPr>
          <w:color w:val="auto"/>
          <w:highlight w:val="none"/>
        </w:rPr>
      </w:pPr>
      <w:r>
        <w:rPr>
          <w:rFonts w:hint="eastAsia"/>
          <w:color w:val="auto"/>
          <w:highlight w:val="none"/>
        </w:rPr>
        <w:t>物资领用明细查询。支持查询科室全部的材料领用明细。</w:t>
      </w:r>
    </w:p>
    <w:p>
      <w:pPr>
        <w:pStyle w:val="5"/>
        <w:ind w:firstLine="480"/>
        <w:rPr>
          <w:color w:val="auto"/>
          <w:highlight w:val="none"/>
        </w:rPr>
      </w:pPr>
      <w:r>
        <w:rPr>
          <w:rFonts w:hint="eastAsia"/>
          <w:color w:val="auto"/>
          <w:highlight w:val="none"/>
        </w:rPr>
        <w:t>成本分摊查询。支持查询如手术室、介入室等公共平台科室的成本分摊到临床科室的明细数据。</w:t>
      </w:r>
    </w:p>
    <w:p>
      <w:pPr>
        <w:pStyle w:val="5"/>
        <w:ind w:firstLine="480"/>
        <w:rPr>
          <w:color w:val="auto"/>
          <w:highlight w:val="none"/>
        </w:rPr>
      </w:pPr>
      <w:r>
        <w:rPr>
          <w:rFonts w:hint="eastAsia"/>
          <w:color w:val="auto"/>
          <w:highlight w:val="none"/>
        </w:rPr>
        <w:t>人力成本查询。支持查询每个员工的工资明细，支持根据考勤或公式计算后得出的各核算单元奖金查询。</w:t>
      </w:r>
    </w:p>
    <w:p>
      <w:pPr>
        <w:pStyle w:val="5"/>
        <w:ind w:firstLine="480"/>
        <w:rPr>
          <w:color w:val="auto"/>
          <w:highlight w:val="none"/>
        </w:rPr>
      </w:pPr>
      <w:r>
        <w:rPr>
          <w:rFonts w:hint="eastAsia"/>
          <w:color w:val="auto"/>
          <w:highlight w:val="none"/>
        </w:rPr>
        <w:t>7.7.10．绩效</w:t>
      </w:r>
      <w:r>
        <w:rPr>
          <w:color w:val="auto"/>
          <w:highlight w:val="none"/>
        </w:rPr>
        <w:t>下发</w:t>
      </w:r>
    </w:p>
    <w:p>
      <w:pPr>
        <w:pStyle w:val="5"/>
        <w:ind w:firstLine="480"/>
        <w:rPr>
          <w:color w:val="auto"/>
          <w:szCs w:val="24"/>
          <w:highlight w:val="none"/>
        </w:rPr>
      </w:pPr>
      <w:r>
        <w:rPr>
          <w:rFonts w:hint="eastAsia"/>
          <w:color w:val="auto"/>
          <w:szCs w:val="24"/>
          <w:highlight w:val="none"/>
        </w:rPr>
        <w:t>绩效</w:t>
      </w:r>
      <w:r>
        <w:rPr>
          <w:color w:val="auto"/>
          <w:szCs w:val="24"/>
          <w:highlight w:val="none"/>
        </w:rPr>
        <w:t>系统</w:t>
      </w:r>
      <w:r>
        <w:rPr>
          <w:rFonts w:hint="eastAsia"/>
          <w:color w:val="auto"/>
          <w:szCs w:val="24"/>
          <w:highlight w:val="none"/>
        </w:rPr>
        <w:t>中附带二次分配下发模块，该模块</w:t>
      </w:r>
      <w:r>
        <w:rPr>
          <w:color w:val="auto"/>
          <w:szCs w:val="24"/>
          <w:highlight w:val="none"/>
        </w:rPr>
        <w:t>中</w:t>
      </w:r>
      <w:r>
        <w:rPr>
          <w:rFonts w:hint="eastAsia"/>
          <w:color w:val="auto"/>
          <w:szCs w:val="24"/>
          <w:highlight w:val="none"/>
        </w:rPr>
        <w:t>设置科主任绩效</w:t>
      </w:r>
      <w:r>
        <w:rPr>
          <w:color w:val="auto"/>
          <w:szCs w:val="24"/>
          <w:highlight w:val="none"/>
        </w:rPr>
        <w:t>/普通医师绩效倍数限制</w:t>
      </w:r>
      <w:r>
        <w:rPr>
          <w:rFonts w:hint="eastAsia"/>
          <w:color w:val="auto"/>
          <w:szCs w:val="24"/>
          <w:highlight w:val="none"/>
        </w:rPr>
        <w:t>，</w:t>
      </w:r>
      <w:r>
        <w:rPr>
          <w:color w:val="auto"/>
          <w:szCs w:val="24"/>
          <w:highlight w:val="none"/>
        </w:rPr>
        <w:t>不符合规定的</w:t>
      </w:r>
      <w:r>
        <w:rPr>
          <w:rFonts w:hint="eastAsia"/>
          <w:color w:val="auto"/>
          <w:szCs w:val="24"/>
          <w:highlight w:val="none"/>
        </w:rPr>
        <w:t>科室</w:t>
      </w:r>
      <w:r>
        <w:rPr>
          <w:color w:val="auto"/>
          <w:szCs w:val="24"/>
          <w:highlight w:val="none"/>
        </w:rPr>
        <w:t>二次分配</w:t>
      </w:r>
      <w:r>
        <w:rPr>
          <w:rFonts w:hint="eastAsia"/>
          <w:color w:val="auto"/>
          <w:szCs w:val="24"/>
          <w:highlight w:val="none"/>
        </w:rPr>
        <w:t>，</w:t>
      </w:r>
      <w:r>
        <w:rPr>
          <w:color w:val="auto"/>
          <w:szCs w:val="24"/>
          <w:highlight w:val="none"/>
        </w:rPr>
        <w:t>不允许提交</w:t>
      </w:r>
      <w:r>
        <w:rPr>
          <w:rFonts w:hint="eastAsia"/>
          <w:color w:val="auto"/>
          <w:szCs w:val="24"/>
          <w:highlight w:val="none"/>
        </w:rPr>
        <w:t>。</w:t>
      </w:r>
    </w:p>
    <w:p>
      <w:pPr>
        <w:pStyle w:val="4"/>
        <w:rPr>
          <w:color w:val="auto"/>
          <w:highlight w:val="none"/>
        </w:rPr>
      </w:pPr>
      <w:bookmarkStart w:id="25" w:name="_Toc27281"/>
      <w:r>
        <w:rPr>
          <w:rFonts w:hint="eastAsia"/>
          <w:color w:val="auto"/>
          <w:highlight w:val="none"/>
        </w:rPr>
        <w:t>职能后勤人员定岗定编模块</w:t>
      </w:r>
      <w:bookmarkEnd w:id="25"/>
    </w:p>
    <w:p>
      <w:pPr>
        <w:pStyle w:val="5"/>
        <w:ind w:firstLine="480"/>
        <w:rPr>
          <w:color w:val="auto"/>
          <w:szCs w:val="24"/>
          <w:highlight w:val="none"/>
        </w:rPr>
      </w:pPr>
      <w:r>
        <w:rPr>
          <w:rFonts w:hint="eastAsia"/>
          <w:color w:val="auto"/>
          <w:szCs w:val="24"/>
          <w:highlight w:val="none"/>
        </w:rPr>
        <w:t>7.2.1.基础设置：</w:t>
      </w:r>
    </w:p>
    <w:p>
      <w:pPr>
        <w:pStyle w:val="5"/>
        <w:ind w:firstLine="480"/>
        <w:rPr>
          <w:color w:val="auto"/>
          <w:szCs w:val="24"/>
          <w:highlight w:val="none"/>
        </w:rPr>
      </w:pPr>
      <w:r>
        <w:rPr>
          <w:rFonts w:hint="eastAsia"/>
          <w:color w:val="auto"/>
          <w:szCs w:val="24"/>
          <w:highlight w:val="none"/>
        </w:rPr>
        <w:t>（1）设置院区、职位、职称、岗位、科室、</w:t>
      </w:r>
    </w:p>
    <w:p>
      <w:pPr>
        <w:pStyle w:val="5"/>
        <w:ind w:firstLine="480"/>
        <w:rPr>
          <w:color w:val="auto"/>
          <w:szCs w:val="24"/>
          <w:highlight w:val="none"/>
        </w:rPr>
      </w:pPr>
      <w:r>
        <w:rPr>
          <w:rFonts w:hint="eastAsia"/>
          <w:color w:val="auto"/>
          <w:szCs w:val="24"/>
          <w:highlight w:val="none"/>
        </w:rPr>
        <w:t>（2）人员基础信息设置</w:t>
      </w:r>
    </w:p>
    <w:p>
      <w:pPr>
        <w:pStyle w:val="5"/>
        <w:ind w:firstLine="480"/>
        <w:rPr>
          <w:color w:val="auto"/>
          <w:szCs w:val="24"/>
          <w:highlight w:val="none"/>
        </w:rPr>
      </w:pPr>
      <w:r>
        <w:rPr>
          <w:rFonts w:hint="eastAsia"/>
          <w:color w:val="auto"/>
          <w:szCs w:val="24"/>
          <w:highlight w:val="none"/>
        </w:rPr>
        <w:t>7.2.2.工作日志填报</w:t>
      </w:r>
    </w:p>
    <w:p>
      <w:pPr>
        <w:pStyle w:val="5"/>
        <w:ind w:firstLine="480"/>
        <w:rPr>
          <w:color w:val="auto"/>
          <w:szCs w:val="24"/>
          <w:highlight w:val="none"/>
        </w:rPr>
      </w:pPr>
      <w:r>
        <w:rPr>
          <w:rFonts w:hint="eastAsia"/>
          <w:color w:val="auto"/>
          <w:szCs w:val="24"/>
          <w:highlight w:val="none"/>
        </w:rPr>
        <w:t>（1）支持按日、月、季度、年度填报数据</w:t>
      </w:r>
    </w:p>
    <w:p>
      <w:pPr>
        <w:pStyle w:val="5"/>
        <w:ind w:firstLine="480"/>
        <w:rPr>
          <w:color w:val="auto"/>
          <w:szCs w:val="24"/>
          <w:highlight w:val="none"/>
        </w:rPr>
      </w:pPr>
      <w:r>
        <w:rPr>
          <w:rFonts w:hint="eastAsia"/>
          <w:color w:val="auto"/>
          <w:szCs w:val="24"/>
          <w:highlight w:val="none"/>
        </w:rPr>
        <w:t>（2）支持汇总工作时长</w:t>
      </w:r>
    </w:p>
    <w:p>
      <w:pPr>
        <w:pStyle w:val="5"/>
        <w:ind w:firstLine="480"/>
        <w:rPr>
          <w:color w:val="auto"/>
          <w:szCs w:val="24"/>
          <w:highlight w:val="none"/>
        </w:rPr>
      </w:pPr>
      <w:r>
        <w:rPr>
          <w:rFonts w:hint="eastAsia"/>
          <w:color w:val="auto"/>
          <w:szCs w:val="24"/>
          <w:highlight w:val="none"/>
        </w:rPr>
        <w:t>7.2.3.公式设置：支持设置人员编制公式；</w:t>
      </w:r>
    </w:p>
    <w:p>
      <w:pPr>
        <w:pStyle w:val="5"/>
        <w:ind w:firstLine="480"/>
        <w:rPr>
          <w:color w:val="auto"/>
          <w:szCs w:val="24"/>
          <w:highlight w:val="none"/>
        </w:rPr>
      </w:pPr>
      <w:r>
        <w:rPr>
          <w:rFonts w:hint="eastAsia"/>
          <w:color w:val="auto"/>
          <w:szCs w:val="24"/>
          <w:highlight w:val="none"/>
        </w:rPr>
        <w:t>7.2.4.指标设置</w:t>
      </w:r>
    </w:p>
    <w:p>
      <w:pPr>
        <w:pStyle w:val="5"/>
        <w:ind w:firstLine="480"/>
        <w:rPr>
          <w:color w:val="auto"/>
          <w:szCs w:val="24"/>
          <w:highlight w:val="none"/>
        </w:rPr>
      </w:pPr>
      <w:r>
        <w:rPr>
          <w:rFonts w:hint="eastAsia"/>
          <w:color w:val="auto"/>
          <w:szCs w:val="24"/>
          <w:highlight w:val="none"/>
        </w:rPr>
        <w:t>（1）支持设置考核指标；</w:t>
      </w:r>
    </w:p>
    <w:p>
      <w:pPr>
        <w:pStyle w:val="5"/>
        <w:ind w:firstLine="480"/>
        <w:rPr>
          <w:color w:val="auto"/>
          <w:szCs w:val="24"/>
          <w:highlight w:val="none"/>
        </w:rPr>
      </w:pPr>
      <w:r>
        <w:rPr>
          <w:rFonts w:hint="eastAsia"/>
          <w:color w:val="auto"/>
          <w:szCs w:val="24"/>
          <w:highlight w:val="none"/>
        </w:rPr>
        <w:t>（2）支持设置晋级指标；</w:t>
      </w:r>
    </w:p>
    <w:p>
      <w:pPr>
        <w:pStyle w:val="5"/>
        <w:ind w:firstLine="480"/>
        <w:rPr>
          <w:color w:val="auto"/>
          <w:szCs w:val="24"/>
          <w:highlight w:val="none"/>
        </w:rPr>
      </w:pPr>
      <w:r>
        <w:rPr>
          <w:rFonts w:hint="eastAsia"/>
          <w:color w:val="auto"/>
          <w:szCs w:val="24"/>
          <w:highlight w:val="none"/>
        </w:rPr>
        <w:t>7.2.</w:t>
      </w:r>
      <w:r>
        <w:rPr>
          <w:color w:val="auto"/>
          <w:szCs w:val="24"/>
          <w:highlight w:val="none"/>
        </w:rPr>
        <w:t>5.</w:t>
      </w:r>
      <w:r>
        <w:rPr>
          <w:rFonts w:hint="eastAsia"/>
          <w:color w:val="auto"/>
          <w:szCs w:val="24"/>
          <w:highlight w:val="none"/>
        </w:rPr>
        <w:t>绩效核算</w:t>
      </w:r>
      <w:r>
        <w:rPr>
          <w:color w:val="auto"/>
          <w:szCs w:val="24"/>
          <w:highlight w:val="none"/>
        </w:rPr>
        <w:t>:</w:t>
      </w:r>
      <w:r>
        <w:rPr>
          <w:rFonts w:hint="eastAsia"/>
          <w:color w:val="auto"/>
          <w:szCs w:val="24"/>
          <w:highlight w:val="none"/>
        </w:rPr>
        <w:t>支持按照考勤、级别、职称等系数核算绩效</w:t>
      </w:r>
    </w:p>
    <w:p>
      <w:pPr>
        <w:pStyle w:val="5"/>
        <w:ind w:firstLine="480"/>
        <w:rPr>
          <w:color w:val="auto"/>
          <w:szCs w:val="24"/>
          <w:highlight w:val="none"/>
        </w:rPr>
      </w:pPr>
      <w:r>
        <w:rPr>
          <w:rFonts w:hint="eastAsia"/>
          <w:color w:val="auto"/>
          <w:szCs w:val="24"/>
          <w:highlight w:val="none"/>
        </w:rPr>
        <w:t>7.2.6项目阶段及与其成果</w:t>
      </w:r>
    </w:p>
    <w:p>
      <w:pPr>
        <w:widowControl/>
        <w:numPr>
          <w:ilvl w:val="-1"/>
          <w:numId w:val="0"/>
        </w:numPr>
        <w:ind w:left="535" w:firstLine="0"/>
        <w:jc w:val="left"/>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 xml:space="preserve"> 调研及框架方案设计。形成《职能科室岗位调研诊断报告及顶层框架方案》</w:t>
      </w:r>
    </w:p>
    <w:p>
      <w:pPr>
        <w:widowControl/>
        <w:numPr>
          <w:ilvl w:val="-1"/>
          <w:numId w:val="0"/>
        </w:numPr>
        <w:ind w:left="535" w:firstLine="0"/>
        <w:jc w:val="left"/>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 xml:space="preserve"> 职能科室定岗定编。</w:t>
      </w:r>
    </w:p>
    <w:p>
      <w:pPr>
        <w:widowControl/>
        <w:numPr>
          <w:ilvl w:val="-1"/>
          <w:numId w:val="0"/>
        </w:numPr>
        <w:ind w:left="535" w:firstLine="0"/>
        <w:jc w:val="left"/>
        <w:rPr>
          <w:color w:val="auto"/>
          <w:highlight w:val="none"/>
        </w:rPr>
      </w:pP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val="en-US" w:eastAsia="zh-CN" w:bidi="ar"/>
        </w:rPr>
        <w:t>3</w:t>
      </w: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bidi="ar"/>
        </w:rPr>
        <w:t>最终形成《职能科室定编报告》、《岗位设置清单》、《岗位说明书》、《员工岗位价值评</w:t>
      </w:r>
      <w:r>
        <w:rPr>
          <w:rFonts w:hint="eastAsia"/>
          <w:color w:val="auto"/>
          <w:highlight w:val="none"/>
        </w:rPr>
        <w:t>价分析报告及岗位价值 评价系数》；</w:t>
      </w:r>
    </w:p>
    <w:p>
      <w:pPr>
        <w:widowControl/>
        <w:numPr>
          <w:ilvl w:val="-1"/>
          <w:numId w:val="0"/>
        </w:numPr>
        <w:ind w:left="535" w:firstLine="0"/>
        <w:jc w:val="left"/>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提供职能部门考核体系参考资料。</w:t>
      </w:r>
    </w:p>
    <w:p>
      <w:pPr>
        <w:pStyle w:val="2"/>
        <w:numPr>
          <w:ilvl w:val="0"/>
          <w:numId w:val="0"/>
        </w:numPr>
        <w:ind w:left="960" w:firstLine="0"/>
        <w:rPr>
          <w:b w:val="0"/>
          <w:bCs w:val="0"/>
          <w:color w:val="auto"/>
          <w:highlight w:val="none"/>
        </w:rPr>
      </w:pPr>
      <w:r>
        <w:rPr>
          <w:rFonts w:hint="eastAsia" w:ascii="宋体" w:hAnsi="宋体" w:eastAsia="宋体" w:cs="宋体"/>
          <w:b w:val="0"/>
          <w:bCs w:val="0"/>
          <w:color w:val="auto"/>
          <w:kern w:val="0"/>
          <w:highlight w:val="none"/>
          <w:lang w:bidi="ar"/>
        </w:rPr>
        <w:t>《科室绩效考核表（一科一册）》、《员工绩效考核表（一人一表）》。</w:t>
      </w:r>
    </w:p>
    <w:p>
      <w:pPr>
        <w:pStyle w:val="2"/>
        <w:rPr>
          <w:color w:val="auto"/>
          <w:highlight w:val="none"/>
        </w:rPr>
      </w:pPr>
    </w:p>
    <w:p>
      <w:pPr>
        <w:pStyle w:val="4"/>
        <w:rPr>
          <w:color w:val="auto"/>
          <w:highlight w:val="none"/>
        </w:rPr>
      </w:pPr>
      <w:bookmarkStart w:id="26" w:name="_Toc7749"/>
      <w:r>
        <w:rPr>
          <w:rFonts w:hint="eastAsia"/>
          <w:color w:val="auto"/>
          <w:highlight w:val="none"/>
        </w:rPr>
        <w:t>医院学科建设激励模块（CMI/RW）</w:t>
      </w:r>
      <w:bookmarkEnd w:id="26"/>
    </w:p>
    <w:p>
      <w:pPr>
        <w:pStyle w:val="5"/>
        <w:ind w:firstLine="480"/>
        <w:rPr>
          <w:color w:val="auto"/>
          <w:highlight w:val="none"/>
        </w:rPr>
      </w:pPr>
      <w:r>
        <w:rPr>
          <w:rFonts w:hint="eastAsia"/>
          <w:color w:val="auto"/>
          <w:highlight w:val="none"/>
        </w:rPr>
        <w:t>▲7.3.1</w:t>
      </w:r>
      <w:r>
        <w:rPr>
          <w:color w:val="auto"/>
          <w:highlight w:val="none"/>
        </w:rPr>
        <w:t>.</w:t>
      </w:r>
      <w:r>
        <w:rPr>
          <w:rFonts w:hint="eastAsia"/>
          <w:color w:val="auto"/>
          <w:highlight w:val="none"/>
        </w:rPr>
        <w:t>科室CMI设置：设置科室CMI目标值</w:t>
      </w:r>
    </w:p>
    <w:p>
      <w:pPr>
        <w:pStyle w:val="5"/>
        <w:ind w:firstLine="480"/>
        <w:rPr>
          <w:color w:val="auto"/>
          <w:highlight w:val="none"/>
        </w:rPr>
      </w:pPr>
      <w:r>
        <w:rPr>
          <w:rFonts w:hint="eastAsia"/>
          <w:color w:val="auto"/>
          <w:highlight w:val="none"/>
        </w:rPr>
        <w:t>7.3.2.数据采集：自动采集病案系统出院患者主诊断。支持表单导入、手工填报等方式采集数据。</w:t>
      </w:r>
    </w:p>
    <w:p>
      <w:pPr>
        <w:pStyle w:val="5"/>
        <w:ind w:firstLine="480"/>
        <w:rPr>
          <w:color w:val="auto"/>
          <w:highlight w:val="none"/>
        </w:rPr>
      </w:pPr>
      <w:r>
        <w:rPr>
          <w:rFonts w:hint="eastAsia"/>
          <w:color w:val="auto"/>
          <w:highlight w:val="none"/>
        </w:rPr>
        <w:t>7.3.3.核算设置：支持设置CMI、计算公式、奖励系数设置；支持批量将上月公式复制到本月</w:t>
      </w:r>
    </w:p>
    <w:p>
      <w:pPr>
        <w:pStyle w:val="5"/>
        <w:ind w:firstLine="480"/>
        <w:rPr>
          <w:color w:val="auto"/>
          <w:highlight w:val="none"/>
        </w:rPr>
      </w:pPr>
      <w:r>
        <w:rPr>
          <w:rFonts w:hint="eastAsia"/>
          <w:color w:val="auto"/>
          <w:highlight w:val="none"/>
        </w:rPr>
        <w:t>7.3.4.报表查询：提供CMI按照科室查询分析；提供查看出院绩效核算结果，同比环比对比分析；支持科室查看出院患者明细表。</w:t>
      </w:r>
    </w:p>
    <w:p>
      <w:pPr>
        <w:pStyle w:val="4"/>
        <w:rPr>
          <w:color w:val="auto"/>
          <w:highlight w:val="none"/>
        </w:rPr>
      </w:pPr>
      <w:bookmarkStart w:id="27" w:name="_Toc1201"/>
      <w:r>
        <w:rPr>
          <w:color w:val="auto"/>
          <w:highlight w:val="none"/>
        </w:rPr>
        <w:t>DRG/DIP</w:t>
      </w:r>
      <w:r>
        <w:rPr>
          <w:rFonts w:hint="eastAsia"/>
          <w:color w:val="auto"/>
          <w:highlight w:val="none"/>
        </w:rPr>
        <w:t>环境下绩效奖金模块</w:t>
      </w:r>
      <w:bookmarkEnd w:id="27"/>
    </w:p>
    <w:p>
      <w:pPr>
        <w:pStyle w:val="5"/>
        <w:ind w:firstLine="480"/>
        <w:rPr>
          <w:color w:val="auto"/>
          <w:highlight w:val="none"/>
        </w:rPr>
      </w:pPr>
      <w:r>
        <w:rPr>
          <w:rFonts w:hint="eastAsia"/>
          <w:color w:val="auto"/>
          <w:highlight w:val="none"/>
        </w:rPr>
        <w:t>7.4.1.数据查询：支持查看病案首页、正式医保数据。</w:t>
      </w:r>
    </w:p>
    <w:p>
      <w:pPr>
        <w:pStyle w:val="5"/>
        <w:ind w:firstLine="480"/>
        <w:rPr>
          <w:color w:val="auto"/>
          <w:highlight w:val="none"/>
        </w:rPr>
      </w:pPr>
      <w:r>
        <w:rPr>
          <w:rFonts w:hint="eastAsia"/>
          <w:color w:val="auto"/>
          <w:highlight w:val="none"/>
        </w:rPr>
        <w:t>7.4.2.基础设置：支持病种核算规则、病种费用基准设置。</w:t>
      </w:r>
    </w:p>
    <w:p>
      <w:pPr>
        <w:pStyle w:val="5"/>
        <w:ind w:firstLine="480"/>
        <w:rPr>
          <w:color w:val="auto"/>
          <w:highlight w:val="none"/>
        </w:rPr>
      </w:pPr>
      <w:r>
        <w:rPr>
          <w:rFonts w:hint="eastAsia"/>
          <w:color w:val="auto"/>
          <w:highlight w:val="none"/>
        </w:rPr>
        <w:t>7.4.3.绩效查询：支持查询住院日绩效明细、费用绩效明细、病种奖惩汇总及明细以及按科室查询各项奖惩汇总数据。</w:t>
      </w:r>
    </w:p>
    <w:p>
      <w:pPr>
        <w:pStyle w:val="4"/>
        <w:rPr>
          <w:color w:val="auto"/>
          <w:highlight w:val="none"/>
        </w:rPr>
      </w:pPr>
      <w:bookmarkStart w:id="28" w:name="_Toc19843"/>
      <w:r>
        <w:rPr>
          <w:rFonts w:hint="eastAsia"/>
          <w:color w:val="auto"/>
          <w:highlight w:val="none"/>
        </w:rPr>
        <w:t>质量考核（含三级公立综合医院绩效考核）指标模块</w:t>
      </w:r>
      <w:bookmarkEnd w:id="28"/>
    </w:p>
    <w:p>
      <w:pPr>
        <w:pStyle w:val="5"/>
        <w:ind w:firstLine="482"/>
        <w:rPr>
          <w:b/>
          <w:bCs/>
          <w:color w:val="auto"/>
          <w:highlight w:val="none"/>
        </w:rPr>
      </w:pPr>
      <w:r>
        <w:rPr>
          <w:rFonts w:hint="eastAsia"/>
          <w:b/>
          <w:bCs/>
          <w:color w:val="auto"/>
          <w:highlight w:val="none"/>
        </w:rPr>
        <w:t>7.5.1.数据集成自动采集管理</w:t>
      </w:r>
    </w:p>
    <w:p>
      <w:pPr>
        <w:pStyle w:val="5"/>
        <w:ind w:firstLine="480"/>
        <w:rPr>
          <w:color w:val="auto"/>
          <w:highlight w:val="none"/>
        </w:rPr>
      </w:pPr>
      <w:r>
        <w:rPr>
          <w:rFonts w:hint="eastAsia"/>
          <w:color w:val="auto"/>
          <w:highlight w:val="none"/>
        </w:rPr>
        <w:t>所有数据优先从已有工作量绩效系统提取，工作量绩效系统缺失数据，则对接医院业务系统，实现一键采集，关键数据信息自动生成，确保指标结果考核结果真实客观。</w:t>
      </w:r>
    </w:p>
    <w:p>
      <w:pPr>
        <w:pStyle w:val="5"/>
        <w:ind w:firstLine="480"/>
        <w:rPr>
          <w:color w:val="auto"/>
          <w:highlight w:val="none"/>
        </w:rPr>
      </w:pPr>
      <w:r>
        <w:rPr>
          <w:rFonts w:hint="eastAsia"/>
          <w:color w:val="auto"/>
          <w:highlight w:val="none"/>
        </w:rPr>
        <w:t>无业务系统对接数据，则建立指标录入模块，由医院人工勾选或填报，并通过系统的权限分配功能，固化填报部门。</w:t>
      </w:r>
    </w:p>
    <w:p>
      <w:pPr>
        <w:pStyle w:val="5"/>
        <w:ind w:firstLine="482"/>
        <w:rPr>
          <w:b/>
          <w:bCs/>
          <w:color w:val="auto"/>
          <w:highlight w:val="none"/>
        </w:rPr>
      </w:pPr>
      <w:r>
        <w:rPr>
          <w:rFonts w:hint="eastAsia"/>
          <w:b/>
          <w:bCs/>
          <w:color w:val="auto"/>
          <w:highlight w:val="none"/>
        </w:rPr>
        <w:t>7.5.2.对标医院关键指标对比显示功能</w:t>
      </w:r>
    </w:p>
    <w:p>
      <w:pPr>
        <w:pStyle w:val="5"/>
        <w:ind w:firstLine="480"/>
        <w:rPr>
          <w:color w:val="auto"/>
          <w:highlight w:val="none"/>
        </w:rPr>
      </w:pPr>
      <w:r>
        <w:rPr>
          <w:rFonts w:hint="eastAsia"/>
          <w:color w:val="auto"/>
          <w:highlight w:val="none"/>
        </w:rPr>
        <w:t>支持设置医院指标的目标值，修正数据。</w:t>
      </w:r>
    </w:p>
    <w:p>
      <w:pPr>
        <w:pStyle w:val="5"/>
        <w:ind w:firstLine="482"/>
        <w:rPr>
          <w:b/>
          <w:bCs/>
          <w:color w:val="auto"/>
          <w:highlight w:val="none"/>
        </w:rPr>
      </w:pPr>
      <w:r>
        <w:rPr>
          <w:rFonts w:hint="eastAsia"/>
          <w:b/>
          <w:bCs/>
          <w:color w:val="auto"/>
          <w:highlight w:val="none"/>
        </w:rPr>
        <w:t>7.5.3.指标统计与分析</w:t>
      </w:r>
    </w:p>
    <w:p>
      <w:pPr>
        <w:pStyle w:val="5"/>
        <w:ind w:firstLine="480"/>
        <w:rPr>
          <w:color w:val="auto"/>
          <w:highlight w:val="none"/>
        </w:rPr>
      </w:pPr>
      <w:r>
        <w:rPr>
          <w:rFonts w:hint="eastAsia"/>
          <w:color w:val="auto"/>
          <w:highlight w:val="none"/>
        </w:rPr>
        <w:t>系统预设形式多样的报表，能够按照时间区间、科室、同类型指标等因素进行同比、环比分析。支持各类型图表展示，包括柱状图、折线图、雷达图等。</w:t>
      </w:r>
    </w:p>
    <w:p>
      <w:pPr>
        <w:pStyle w:val="3"/>
        <w:rPr>
          <w:color w:val="auto"/>
          <w:highlight w:val="none"/>
        </w:rPr>
      </w:pPr>
      <w:bookmarkStart w:id="29" w:name="_Toc15545"/>
      <w:r>
        <w:rPr>
          <w:rFonts w:hint="eastAsia"/>
          <w:color w:val="auto"/>
          <w:highlight w:val="none"/>
        </w:rPr>
        <w:t>项目建设技术要求</w:t>
      </w:r>
      <w:bookmarkEnd w:id="29"/>
    </w:p>
    <w:p>
      <w:pPr>
        <w:pStyle w:val="4"/>
        <w:rPr>
          <w:color w:val="auto"/>
          <w:highlight w:val="none"/>
        </w:rPr>
      </w:pPr>
      <w:bookmarkStart w:id="30" w:name="_Toc100650171"/>
      <w:bookmarkStart w:id="31" w:name="_Toc6212"/>
      <w:bookmarkStart w:id="32" w:name="_Toc20016"/>
      <w:bookmarkStart w:id="33" w:name="_Toc100650173"/>
      <w:r>
        <w:rPr>
          <w:rFonts w:hint="eastAsia"/>
          <w:color w:val="auto"/>
          <w:highlight w:val="none"/>
        </w:rPr>
        <w:t>系统技术要求</w:t>
      </w:r>
      <w:bookmarkEnd w:id="30"/>
      <w:bookmarkEnd w:id="31"/>
      <w:bookmarkEnd w:id="32"/>
    </w:p>
    <w:p>
      <w:pPr>
        <w:pStyle w:val="5"/>
        <w:ind w:firstLine="480"/>
        <w:rPr>
          <w:color w:val="auto"/>
          <w:highlight w:val="none"/>
        </w:rPr>
      </w:pPr>
      <w:r>
        <w:rPr>
          <w:rFonts w:hint="eastAsia"/>
          <w:color w:val="auto"/>
          <w:highlight w:val="none"/>
        </w:rPr>
        <w:t>8.1.1．支持最新Web Services标准，包括SOAP 1.1/1.2、WSDL 1.1、</w:t>
      </w:r>
      <w:r>
        <w:rPr>
          <w:color w:val="auto"/>
          <w:highlight w:val="none"/>
        </w:rPr>
        <w:t>MTOM/XOP</w:t>
      </w:r>
      <w:r>
        <w:rPr>
          <w:rFonts w:hint="eastAsia"/>
          <w:color w:val="auto"/>
          <w:highlight w:val="none"/>
        </w:rPr>
        <w:t>、</w:t>
      </w:r>
      <w:r>
        <w:rPr>
          <w:color w:val="auto"/>
          <w:highlight w:val="none"/>
        </w:rPr>
        <w:t>WS-I Basic Profile 1.1</w:t>
      </w:r>
      <w:r>
        <w:rPr>
          <w:rFonts w:hint="eastAsia"/>
          <w:color w:val="auto"/>
          <w:highlight w:val="none"/>
        </w:rPr>
        <w:t xml:space="preserve">等，支持Web Services自有的安全性WS-Security和寻址功能WS-Addressing，可以实现Web Services 同步和异步不同形式的调用。 </w:t>
      </w:r>
    </w:p>
    <w:p>
      <w:pPr>
        <w:pStyle w:val="5"/>
        <w:ind w:firstLine="480"/>
        <w:rPr>
          <w:color w:val="auto"/>
          <w:highlight w:val="none"/>
        </w:rPr>
      </w:pPr>
      <w:r>
        <w:rPr>
          <w:rFonts w:hint="eastAsia"/>
          <w:color w:val="auto"/>
          <w:highlight w:val="none"/>
        </w:rPr>
        <w:t>8.1.2．产品内置定时触发组件，根据需要灵活实现定时、定点、一定时间间隔等多种方式的主动数据处理模式。</w:t>
      </w:r>
    </w:p>
    <w:p>
      <w:pPr>
        <w:pStyle w:val="5"/>
        <w:ind w:firstLine="480"/>
        <w:rPr>
          <w:color w:val="auto"/>
          <w:highlight w:val="none"/>
        </w:rPr>
      </w:pPr>
      <w:r>
        <w:rPr>
          <w:rFonts w:hint="eastAsia"/>
          <w:color w:val="auto"/>
          <w:highlight w:val="none"/>
        </w:rPr>
        <w:t>8.1.3．提供可靠的数据或消息传输，确保消息传输的最简化连接方式，如支持 IBM WebSphere MQ、Tibco EMS、ActiveMQ等标准消息中间件，支持JMS最新标准。</w:t>
      </w:r>
    </w:p>
    <w:p>
      <w:pPr>
        <w:pStyle w:val="5"/>
        <w:ind w:firstLine="480"/>
        <w:rPr>
          <w:color w:val="auto"/>
          <w:highlight w:val="none"/>
        </w:rPr>
      </w:pPr>
      <w:r>
        <w:rPr>
          <w:rFonts w:hint="eastAsia"/>
          <w:color w:val="auto"/>
          <w:highlight w:val="none"/>
        </w:rPr>
        <w:t>8.1.4．支持灵活和开放的协议支持，包括HTTP/HTTPS、JMS、FTP/File、Socket、POP3/SMTP、SOAP/HTTP、SOAP/JMS、COBRA等。</w:t>
      </w:r>
    </w:p>
    <w:p>
      <w:pPr>
        <w:pStyle w:val="5"/>
        <w:ind w:firstLine="480"/>
        <w:rPr>
          <w:color w:val="auto"/>
          <w:highlight w:val="none"/>
        </w:rPr>
      </w:pPr>
      <w:r>
        <w:rPr>
          <w:rFonts w:hint="eastAsia"/>
          <w:color w:val="auto"/>
          <w:highlight w:val="none"/>
        </w:rPr>
        <w:t>8.1.5.支持多种硬件服务器，包括IBM、HP、SUN等，同时能够提供对32位和64位的部署。</w:t>
      </w:r>
    </w:p>
    <w:p>
      <w:pPr>
        <w:pStyle w:val="5"/>
        <w:ind w:firstLine="480"/>
        <w:rPr>
          <w:color w:val="auto"/>
          <w:highlight w:val="none"/>
        </w:rPr>
      </w:pPr>
      <w:r>
        <w:rPr>
          <w:rFonts w:hint="eastAsia"/>
          <w:color w:val="auto"/>
          <w:highlight w:val="none"/>
        </w:rPr>
        <w:t>8.1.6.主流操作系统的支持，包含了AIX、HP-UX、Solaris、RedHat Linux、SUSE Linux、RedFlag Linux、Windows等</w:t>
      </w:r>
    </w:p>
    <w:p>
      <w:pPr>
        <w:pStyle w:val="5"/>
        <w:ind w:firstLine="480"/>
        <w:rPr>
          <w:color w:val="auto"/>
          <w:highlight w:val="none"/>
        </w:rPr>
      </w:pPr>
      <w:r>
        <w:rPr>
          <w:rFonts w:hint="eastAsia"/>
          <w:color w:val="auto"/>
          <w:szCs w:val="24"/>
          <w:highlight w:val="none"/>
        </w:rPr>
        <w:t>8.1.7.具有良好的扩展性，提供软件级别的垂直扩展和水平扩展两种方式；支持集群部署，可以实现数据的动态负载均衡。</w:t>
      </w:r>
    </w:p>
    <w:p>
      <w:pPr>
        <w:pStyle w:val="5"/>
        <w:ind w:firstLine="480"/>
        <w:rPr>
          <w:color w:val="auto"/>
          <w:highlight w:val="none"/>
        </w:rPr>
      </w:pPr>
      <w:r>
        <w:rPr>
          <w:rFonts w:hint="eastAsia"/>
          <w:color w:val="auto"/>
          <w:highlight w:val="none"/>
        </w:rPr>
        <w:t>8.1.8.具备高性能处理能力，尤其对于XML数据的校验和解析、XSLT解析、非XML报文的处理、路由和过滤、数据库操作、Web Services调用等都要满足高性能要求，提供动态的缓存机制，保证数据能够在内存中最快速的处理。</w:t>
      </w:r>
    </w:p>
    <w:p>
      <w:pPr>
        <w:pStyle w:val="5"/>
        <w:ind w:firstLine="480"/>
        <w:rPr>
          <w:color w:val="auto"/>
          <w:highlight w:val="none"/>
        </w:rPr>
      </w:pPr>
      <w:r>
        <w:rPr>
          <w:rFonts w:hint="eastAsia"/>
          <w:color w:val="auto"/>
          <w:highlight w:val="none"/>
        </w:rPr>
        <w:t>8.1.9.高可用性，保证平台7*24小时的运行；提供高稳定性，保证在数据量或应用连接数高峰运行时的系统运行正常，保障持久化的系统运行。</w:t>
      </w:r>
    </w:p>
    <w:p>
      <w:pPr>
        <w:pStyle w:val="5"/>
        <w:ind w:firstLine="480"/>
        <w:rPr>
          <w:color w:val="auto"/>
          <w:highlight w:val="none"/>
        </w:rPr>
      </w:pPr>
      <w:r>
        <w:rPr>
          <w:rFonts w:hint="eastAsia"/>
          <w:color w:val="auto"/>
          <w:highlight w:val="none"/>
        </w:rPr>
        <w:t>8.1.10.支持Java SDK 5以上标准。</w:t>
      </w:r>
    </w:p>
    <w:p>
      <w:pPr>
        <w:pStyle w:val="5"/>
        <w:ind w:firstLine="480"/>
        <w:rPr>
          <w:color w:val="auto"/>
          <w:highlight w:val="none"/>
        </w:rPr>
      </w:pPr>
    </w:p>
    <w:p>
      <w:pPr>
        <w:pStyle w:val="4"/>
        <w:rPr>
          <w:color w:val="auto"/>
          <w:highlight w:val="none"/>
        </w:rPr>
      </w:pPr>
      <w:bookmarkStart w:id="34" w:name="_Toc1799"/>
      <w:bookmarkStart w:id="35" w:name="_Toc100650172"/>
      <w:bookmarkStart w:id="36" w:name="_Toc14221"/>
      <w:r>
        <w:rPr>
          <w:rFonts w:hint="eastAsia"/>
          <w:color w:val="auto"/>
          <w:highlight w:val="none"/>
        </w:rPr>
        <w:t>数据库技术要求</w:t>
      </w:r>
      <w:bookmarkEnd w:id="34"/>
      <w:bookmarkEnd w:id="35"/>
      <w:bookmarkEnd w:id="36"/>
    </w:p>
    <w:p>
      <w:pPr>
        <w:pStyle w:val="5"/>
        <w:ind w:firstLine="480"/>
        <w:rPr>
          <w:color w:val="auto"/>
          <w:highlight w:val="none"/>
        </w:rPr>
      </w:pPr>
      <w:r>
        <w:rPr>
          <w:rFonts w:hint="eastAsia"/>
          <w:color w:val="auto"/>
          <w:highlight w:val="none"/>
        </w:rPr>
        <w:t>8.2.1．</w:t>
      </w:r>
      <w:r>
        <w:rPr>
          <w:rFonts w:hint="eastAsia" w:ascii="宋体" w:hAnsi="宋体"/>
          <w:color w:val="auto"/>
          <w:szCs w:val="21"/>
          <w:highlight w:val="none"/>
        </w:rPr>
        <w:t>支持各种数据库平台（包括DB2、SQL Server、Oracle、Informix、Sybase等）</w:t>
      </w:r>
      <w:r>
        <w:rPr>
          <w:rFonts w:hint="eastAsia"/>
          <w:color w:val="auto"/>
          <w:highlight w:val="none"/>
          <w:lang w:val="zh-CN"/>
        </w:rPr>
        <w:t>。</w:t>
      </w:r>
    </w:p>
    <w:p>
      <w:pPr>
        <w:pStyle w:val="5"/>
        <w:ind w:firstLine="480"/>
        <w:rPr>
          <w:rFonts w:ascii="宋体" w:hAnsi="宋体"/>
          <w:color w:val="auto"/>
          <w:szCs w:val="21"/>
          <w:highlight w:val="none"/>
        </w:rPr>
      </w:pPr>
      <w:r>
        <w:rPr>
          <w:rFonts w:hint="eastAsia"/>
          <w:color w:val="auto"/>
          <w:highlight w:val="none"/>
        </w:rPr>
        <w:t>8.2.2．</w:t>
      </w:r>
      <w:r>
        <w:rPr>
          <w:rFonts w:hint="eastAsia" w:ascii="宋体" w:hAnsi="宋体"/>
          <w:color w:val="auto"/>
          <w:szCs w:val="21"/>
          <w:highlight w:val="none"/>
        </w:rPr>
        <w:t>备份策略支持每周全备份，每天做增量备份，保存周期可以自由设定，支持任意时间点恢复。</w:t>
      </w:r>
    </w:p>
    <w:p>
      <w:pPr>
        <w:pStyle w:val="5"/>
        <w:ind w:firstLine="480"/>
        <w:rPr>
          <w:color w:val="auto"/>
          <w:highlight w:val="none"/>
        </w:rPr>
      </w:pPr>
      <w:r>
        <w:rPr>
          <w:rFonts w:hint="eastAsia"/>
          <w:color w:val="auto"/>
          <w:highlight w:val="none"/>
        </w:rPr>
        <w:t>8.3.3.</w:t>
      </w:r>
      <w:r>
        <w:rPr>
          <w:rFonts w:hint="eastAsia"/>
          <w:color w:val="auto"/>
          <w:highlight w:val="none"/>
          <w:lang w:val="zh-CN"/>
        </w:rPr>
        <w:t>支持多数据源数据整理及运用，包括文件数据来源，用户数据来源及系统数据来源整理和运用。</w:t>
      </w:r>
    </w:p>
    <w:bookmarkEnd w:id="33"/>
    <w:p>
      <w:pPr>
        <w:pStyle w:val="4"/>
        <w:rPr>
          <w:color w:val="auto"/>
          <w:highlight w:val="none"/>
        </w:rPr>
      </w:pPr>
      <w:bookmarkStart w:id="37" w:name="_Toc31653"/>
      <w:r>
        <w:rPr>
          <w:rFonts w:hint="eastAsia"/>
          <w:color w:val="auto"/>
          <w:highlight w:val="none"/>
        </w:rPr>
        <w:t>接口要求</w:t>
      </w:r>
      <w:bookmarkEnd w:id="37"/>
    </w:p>
    <w:p>
      <w:pPr>
        <w:pStyle w:val="5"/>
        <w:ind w:firstLine="482"/>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维保期和续保期内免费实现以下要求：</w:t>
      </w:r>
    </w:p>
    <w:p>
      <w:pPr>
        <w:pStyle w:val="13"/>
        <w:spacing w:after="120"/>
        <w:ind w:firstLine="420"/>
        <w:rPr>
          <w:rFonts w:ascii="宋体" w:hAnsi="宋体" w:eastAsia="宋体" w:cs="宋体"/>
          <w:color w:val="auto"/>
          <w:szCs w:val="22"/>
          <w:highlight w:val="none"/>
        </w:rPr>
      </w:pPr>
      <w:r>
        <w:rPr>
          <w:rFonts w:hint="eastAsia" w:ascii="宋体" w:hAnsi="宋体" w:eastAsia="宋体" w:cs="宋体"/>
          <w:color w:val="auto"/>
          <w:szCs w:val="22"/>
          <w:highlight w:val="none"/>
          <w:lang w:bidi="ar"/>
        </w:rPr>
        <w:t>8.3.1免费提供全面的接口技术，与第三方系统共享数据和功能，这些接口技术包括中间件技术接口、WEBSEVICE通用接口、数据库级接口、文件文本接口等，实现数据交换。</w:t>
      </w:r>
    </w:p>
    <w:p>
      <w:pPr>
        <w:pStyle w:val="5"/>
        <w:ind w:firstLine="480"/>
        <w:rPr>
          <w:rFonts w:ascii="宋体" w:hAnsi="宋体" w:eastAsia="宋体" w:cs="宋体"/>
          <w:color w:val="auto"/>
          <w:szCs w:val="22"/>
          <w:highlight w:val="none"/>
        </w:rPr>
      </w:pPr>
      <w:r>
        <w:rPr>
          <w:rFonts w:hint="eastAsia" w:ascii="宋体" w:hAnsi="宋体" w:eastAsia="宋体" w:cs="宋体"/>
          <w:color w:val="auto"/>
          <w:szCs w:val="22"/>
          <w:highlight w:val="none"/>
          <w:lang w:bidi="ar"/>
        </w:rPr>
        <w:t>8.3.2项目供应商免费提供与医院第三方系统统一接口的维护与管理，</w:t>
      </w:r>
      <w:r>
        <w:rPr>
          <w:rFonts w:hint="eastAsia"/>
          <w:color w:val="auto"/>
          <w:highlight w:val="none"/>
        </w:rPr>
        <w:t>系统应保证与现行各系统实现有效衔接，实现信息的共享和集成，涉</w:t>
      </w:r>
      <w:r>
        <w:rPr>
          <w:rFonts w:hint="eastAsia" w:ascii="宋体" w:hAnsi="宋体" w:eastAsia="宋体" w:cs="宋体"/>
          <w:color w:val="auto"/>
          <w:szCs w:val="22"/>
          <w:highlight w:val="none"/>
          <w:lang w:bidi="ar"/>
        </w:rPr>
        <w:t>及与第三方公司系统对接要求的对接接口费用由院方承担，项目供应商免费进行接口改造对接。</w:t>
      </w:r>
      <w:r>
        <w:rPr>
          <w:rFonts w:hint="eastAsia"/>
          <w:color w:val="auto"/>
          <w:highlight w:val="none"/>
        </w:rPr>
        <w:t>支持跨平台和开放数据接口，按照采购人要求进行源码级定制修改，能进行软件集成和系统整合。系统应保持良好的扩展性，有利于逐步升级。</w:t>
      </w:r>
    </w:p>
    <w:p>
      <w:pPr>
        <w:ind w:firstLine="420"/>
        <w:rPr>
          <w:rFonts w:ascii="宋体" w:hAnsi="宋体" w:eastAsia="宋体" w:cs="宋体"/>
          <w:color w:val="auto"/>
          <w:szCs w:val="22"/>
          <w:highlight w:val="none"/>
          <w:lang w:bidi="ar"/>
        </w:rPr>
      </w:pPr>
      <w:r>
        <w:rPr>
          <w:rFonts w:hint="eastAsia" w:ascii="宋体" w:hAnsi="宋体" w:eastAsia="宋体" w:cs="宋体"/>
          <w:color w:val="auto"/>
          <w:szCs w:val="22"/>
          <w:highlight w:val="none"/>
          <w:lang w:bidi="ar"/>
        </w:rPr>
        <w:t>8.3.3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13"/>
        <w:spacing w:after="120"/>
        <w:ind w:firstLine="420"/>
        <w:rPr>
          <w:rFonts w:ascii="宋体" w:hAnsi="宋体" w:eastAsia="宋体" w:cs="宋体"/>
          <w:color w:val="auto"/>
          <w:szCs w:val="22"/>
          <w:highlight w:val="none"/>
        </w:rPr>
      </w:pPr>
      <w:r>
        <w:rPr>
          <w:rFonts w:hint="eastAsia" w:ascii="宋体" w:hAnsi="宋体" w:eastAsia="宋体" w:cs="宋体"/>
          <w:color w:val="auto"/>
          <w:szCs w:val="22"/>
          <w:highlight w:val="none"/>
          <w:lang w:bidi="ar"/>
        </w:rPr>
        <w:t>8.3.4提供软件免费升级及双方协定范围的个性化修改服务。</w:t>
      </w:r>
    </w:p>
    <w:p>
      <w:pPr>
        <w:pStyle w:val="5"/>
        <w:ind w:firstLine="480"/>
        <w:rPr>
          <w:rFonts w:ascii="宋体" w:hAnsi="宋体" w:eastAsia="宋体" w:cs="宋体"/>
          <w:color w:val="auto"/>
          <w:szCs w:val="22"/>
          <w:highlight w:val="none"/>
          <w:lang w:bidi="ar"/>
        </w:rPr>
      </w:pPr>
      <w:r>
        <w:rPr>
          <w:rFonts w:hint="eastAsia" w:ascii="宋体" w:hAnsi="宋体" w:eastAsia="宋体" w:cs="宋体"/>
          <w:color w:val="auto"/>
          <w:szCs w:val="22"/>
          <w:highlight w:val="none"/>
          <w:lang w:bidi="ar"/>
        </w:rPr>
        <w:t>8.3.5免费提供医院新增业务信息系统的对接、免费实现医院上级管理部门要求的系统接口对接要求，涉及第三方费用，由院方承担。</w:t>
      </w:r>
    </w:p>
    <w:p>
      <w:pPr>
        <w:pStyle w:val="5"/>
        <w:ind w:firstLine="480"/>
        <w:rPr>
          <w:color w:val="auto"/>
          <w:highlight w:val="none"/>
        </w:rPr>
      </w:pPr>
    </w:p>
    <w:p>
      <w:pPr>
        <w:pStyle w:val="5"/>
        <w:ind w:firstLine="0" w:firstLineChars="0"/>
        <w:rPr>
          <w:b/>
          <w:color w:val="auto"/>
          <w:sz w:val="28"/>
          <w:szCs w:val="28"/>
          <w:highlight w:val="none"/>
        </w:rPr>
      </w:pPr>
      <w:r>
        <w:rPr>
          <w:rFonts w:hint="eastAsia"/>
          <w:b/>
          <w:color w:val="auto"/>
          <w:sz w:val="28"/>
          <w:szCs w:val="28"/>
          <w:highlight w:val="none"/>
        </w:rPr>
        <w:t>8.4</w:t>
      </w:r>
      <w:r>
        <w:rPr>
          <w:b/>
          <w:color w:val="auto"/>
          <w:sz w:val="28"/>
          <w:szCs w:val="28"/>
          <w:highlight w:val="none"/>
        </w:rPr>
        <w:t xml:space="preserve"> </w:t>
      </w:r>
      <w:r>
        <w:rPr>
          <w:rFonts w:hint="eastAsia"/>
          <w:b/>
          <w:color w:val="auto"/>
          <w:sz w:val="28"/>
          <w:szCs w:val="28"/>
          <w:highlight w:val="none"/>
        </w:rPr>
        <w:t>结案</w:t>
      </w:r>
      <w:r>
        <w:rPr>
          <w:b/>
          <w:color w:val="auto"/>
          <w:sz w:val="28"/>
          <w:szCs w:val="28"/>
          <w:highlight w:val="none"/>
        </w:rPr>
        <w:t>资料要求</w:t>
      </w:r>
    </w:p>
    <w:p>
      <w:pPr>
        <w:pStyle w:val="5"/>
        <w:ind w:firstLine="480"/>
        <w:rPr>
          <w:color w:val="auto"/>
          <w:highlight w:val="none"/>
        </w:rPr>
      </w:pPr>
      <w:r>
        <w:rPr>
          <w:rFonts w:hint="eastAsia"/>
          <w:color w:val="auto"/>
          <w:szCs w:val="24"/>
          <w:highlight w:val="none"/>
        </w:rPr>
        <w:t>结案资料需提供详细文字描述和</w:t>
      </w:r>
      <w:r>
        <w:rPr>
          <w:color w:val="auto"/>
          <w:szCs w:val="24"/>
          <w:highlight w:val="none"/>
        </w:rPr>
        <w:t>解释</w:t>
      </w:r>
      <w:r>
        <w:rPr>
          <w:rFonts w:hint="eastAsia"/>
          <w:color w:val="auto"/>
          <w:szCs w:val="24"/>
          <w:highlight w:val="none"/>
        </w:rPr>
        <w:t>，并包括程序语句。（如手麻</w:t>
      </w:r>
      <w:r>
        <w:rPr>
          <w:color w:val="auto"/>
          <w:szCs w:val="24"/>
          <w:highlight w:val="none"/>
        </w:rPr>
        <w:t>、内镜、介入等</w:t>
      </w:r>
      <w:r>
        <w:rPr>
          <w:rFonts w:hint="eastAsia"/>
          <w:color w:val="auto"/>
          <w:szCs w:val="24"/>
          <w:highlight w:val="none"/>
        </w:rPr>
        <w:t>平台科室规则的</w:t>
      </w:r>
      <w:r>
        <w:rPr>
          <w:color w:val="auto"/>
          <w:szCs w:val="24"/>
          <w:highlight w:val="none"/>
        </w:rPr>
        <w:t>解释</w:t>
      </w:r>
      <w:r>
        <w:rPr>
          <w:rFonts w:hint="eastAsia"/>
          <w:color w:val="auto"/>
          <w:szCs w:val="24"/>
          <w:highlight w:val="none"/>
        </w:rPr>
        <w:t>）。</w:t>
      </w:r>
    </w:p>
    <w:p>
      <w:pPr>
        <w:pStyle w:val="3"/>
        <w:rPr>
          <w:color w:val="auto"/>
          <w:highlight w:val="none"/>
        </w:rPr>
      </w:pPr>
      <w:bookmarkStart w:id="38" w:name="_Toc25208"/>
      <w:r>
        <w:rPr>
          <w:rFonts w:hint="eastAsia"/>
          <w:color w:val="auto"/>
          <w:highlight w:val="none"/>
        </w:rPr>
        <w:t>项目实施</w:t>
      </w:r>
      <w:bookmarkEnd w:id="38"/>
    </w:p>
    <w:p>
      <w:pPr>
        <w:pStyle w:val="3"/>
        <w:numPr>
          <w:ilvl w:val="0"/>
          <w:numId w:val="0"/>
        </w:numPr>
        <w:rPr>
          <w:color w:val="auto"/>
          <w:highlight w:val="none"/>
        </w:rPr>
      </w:pPr>
      <w:bookmarkStart w:id="39" w:name="_Toc2524"/>
      <w:r>
        <w:rPr>
          <w:rFonts w:hint="eastAsia"/>
          <w:color w:val="auto"/>
          <w:highlight w:val="none"/>
        </w:rPr>
        <w:t>9.1项目实施工期</w:t>
      </w:r>
      <w:bookmarkEnd w:id="39"/>
    </w:p>
    <w:p>
      <w:pPr>
        <w:pStyle w:val="5"/>
        <w:ind w:firstLine="480"/>
        <w:rPr>
          <w:color w:val="auto"/>
          <w:highlight w:val="none"/>
        </w:rPr>
      </w:pPr>
      <w:r>
        <w:rPr>
          <w:rFonts w:hint="eastAsia"/>
          <w:color w:val="auto"/>
          <w:highlight w:val="none"/>
        </w:rPr>
        <w:t>9.1.1本项目实施工期4个月，项目启动4个月后，必须按方案在绩效管理系统如期发放医院第一个月绩效奖金。</w:t>
      </w:r>
    </w:p>
    <w:p>
      <w:pPr>
        <w:ind w:firstLine="480" w:firstLineChars="200"/>
        <w:rPr>
          <w:color w:val="auto"/>
          <w:highlight w:val="none"/>
        </w:rPr>
      </w:pPr>
      <w:r>
        <w:rPr>
          <w:rFonts w:hint="eastAsia" w:ascii="宋体" w:hAnsi="宋体" w:eastAsia="宋体" w:cs="宋体"/>
          <w:color w:val="auto"/>
          <w:szCs w:val="22"/>
          <w:highlight w:val="none"/>
          <w:lang w:bidi="ar"/>
        </w:rPr>
        <w:t>9.1.2项目实施方需列出每个系统实施的工作计划及周期，</w:t>
      </w:r>
      <w:r>
        <w:rPr>
          <w:rFonts w:hint="eastAsia"/>
          <w:color w:val="auto"/>
          <w:highlight w:val="none"/>
        </w:rPr>
        <w:t>严格</w:t>
      </w:r>
      <w:r>
        <w:rPr>
          <w:color w:val="auto"/>
          <w:highlight w:val="none"/>
        </w:rPr>
        <w:t>按照医院规定的时间节点完成</w:t>
      </w:r>
      <w:r>
        <w:rPr>
          <w:rFonts w:hint="eastAsia"/>
          <w:color w:val="auto"/>
          <w:highlight w:val="none"/>
        </w:rPr>
        <w:t>工作，</w:t>
      </w:r>
      <w:r>
        <w:rPr>
          <w:color w:val="auto"/>
          <w:highlight w:val="none"/>
        </w:rPr>
        <w:t>提交医院绩效</w:t>
      </w:r>
      <w:r>
        <w:rPr>
          <w:rFonts w:hint="eastAsia"/>
          <w:color w:val="auto"/>
          <w:highlight w:val="none"/>
        </w:rPr>
        <w:t>改革</w:t>
      </w:r>
      <w:r>
        <w:rPr>
          <w:color w:val="auto"/>
          <w:highlight w:val="none"/>
        </w:rPr>
        <w:t>管理部门</w:t>
      </w:r>
      <w:r>
        <w:rPr>
          <w:rFonts w:hint="eastAsia"/>
          <w:color w:val="auto"/>
          <w:highlight w:val="none"/>
        </w:rPr>
        <w:t>备案</w:t>
      </w:r>
      <w:r>
        <w:rPr>
          <w:color w:val="auto"/>
          <w:highlight w:val="none"/>
        </w:rPr>
        <w:t>。</w:t>
      </w:r>
    </w:p>
    <w:p>
      <w:pPr>
        <w:spacing w:before="156" w:beforeLines="50" w:after="156" w:afterLines="50" w:line="400" w:lineRule="exact"/>
        <w:ind w:firstLine="960" w:firstLineChars="400"/>
        <w:jc w:val="left"/>
        <w:rPr>
          <w:color w:val="auto"/>
          <w:highlight w:val="none"/>
        </w:rPr>
      </w:pPr>
      <w:r>
        <w:rPr>
          <w:rFonts w:hint="eastAsia" w:ascii="宋体" w:hAnsi="宋体" w:eastAsia="宋体" w:cs="宋体"/>
          <w:color w:val="auto"/>
          <w:highlight w:val="none"/>
          <w:lang w:bidi="ar"/>
        </w:rPr>
        <w:t>9.1.3因厂商与院方存在对需求理解有差异的可能性，要求所有软件功能需求的响应以院方意见为准（</w:t>
      </w:r>
      <w:r>
        <w:rPr>
          <w:rFonts w:hint="eastAsia" w:ascii="宋体" w:hAnsi="宋体"/>
          <w:color w:val="auto"/>
          <w:highlight w:val="none"/>
        </w:rPr>
        <w:t>院方需提出具体明确可行的意见）</w:t>
      </w:r>
      <w:r>
        <w:rPr>
          <w:rFonts w:hint="eastAsia" w:ascii="宋体" w:hAnsi="宋体" w:eastAsia="宋体" w:cs="宋体"/>
          <w:color w:val="auto"/>
          <w:highlight w:val="none"/>
          <w:lang w:bidi="ar"/>
        </w:rPr>
        <w:t>。</w:t>
      </w:r>
    </w:p>
    <w:p>
      <w:pPr>
        <w:pStyle w:val="3"/>
        <w:numPr>
          <w:ilvl w:val="0"/>
          <w:numId w:val="0"/>
        </w:numPr>
        <w:rPr>
          <w:color w:val="auto"/>
          <w:highlight w:val="none"/>
        </w:rPr>
      </w:pPr>
      <w:bookmarkStart w:id="40" w:name="_Toc24713"/>
      <w:r>
        <w:rPr>
          <w:rFonts w:hint="eastAsia"/>
          <w:color w:val="auto"/>
          <w:highlight w:val="none"/>
        </w:rPr>
        <w:t>9.2实施人员要求</w:t>
      </w:r>
      <w:bookmarkEnd w:id="40"/>
    </w:p>
    <w:p>
      <w:pPr>
        <w:pStyle w:val="13"/>
        <w:spacing w:after="120"/>
        <w:ind w:firstLine="420"/>
        <w:rPr>
          <w:rFonts w:ascii="宋体" w:hAnsi="宋体" w:eastAsia="宋体" w:cs="宋体"/>
          <w:strike/>
          <w:color w:val="auto"/>
          <w:szCs w:val="22"/>
          <w:highlight w:val="none"/>
          <w:lang w:bidi="ar"/>
        </w:rPr>
      </w:pPr>
      <w:r>
        <w:rPr>
          <w:rFonts w:hint="eastAsia" w:ascii="宋体" w:hAnsi="宋体" w:eastAsia="宋体" w:cs="宋体"/>
          <w:color w:val="auto"/>
          <w:szCs w:val="22"/>
          <w:highlight w:val="none"/>
          <w:lang w:bidi="ar"/>
        </w:rPr>
        <w:t>实施工程师：项目驻场实施工程师需有2年以上本厂商同等项目实施经验。项目实施阶段，驻场实施工程师不得少于2名，如不能按项目阶段计划正常开展工作的，系统供应商需及时增加工程师跟进和实施。</w:t>
      </w:r>
    </w:p>
    <w:p>
      <w:pPr>
        <w:pStyle w:val="13"/>
        <w:spacing w:after="120"/>
        <w:ind w:firstLine="420"/>
        <w:rPr>
          <w:color w:val="auto"/>
          <w:highlight w:val="none"/>
        </w:rPr>
      </w:pPr>
      <w:r>
        <w:rPr>
          <w:rFonts w:hint="eastAsia" w:ascii="宋体" w:hAnsi="宋体" w:eastAsia="宋体" w:cs="宋体"/>
          <w:color w:val="auto"/>
          <w:szCs w:val="22"/>
          <w:highlight w:val="none"/>
          <w:lang w:bidi="ar"/>
        </w:rPr>
        <w:t>竞标文件中需提供软件提供商项目驻场人员清单，清单中标明驻场人员详细信息，如姓名、联系方式、技术职称、社保证明等。</w:t>
      </w:r>
    </w:p>
    <w:p>
      <w:pPr>
        <w:pStyle w:val="3"/>
        <w:ind w:left="0" w:firstLine="0"/>
        <w:rPr>
          <w:color w:val="auto"/>
          <w:highlight w:val="none"/>
        </w:rPr>
      </w:pPr>
      <w:bookmarkStart w:id="41" w:name="_Toc5290"/>
      <w:bookmarkStart w:id="42" w:name="_Toc75796286"/>
      <w:r>
        <w:rPr>
          <w:rFonts w:hint="eastAsia"/>
          <w:color w:val="auto"/>
          <w:highlight w:val="none"/>
        </w:rPr>
        <w:t>项目商务要求</w:t>
      </w:r>
      <w:bookmarkEnd w:id="41"/>
      <w:bookmarkEnd w:id="42"/>
    </w:p>
    <w:p>
      <w:pPr>
        <w:pStyle w:val="4"/>
        <w:rPr>
          <w:color w:val="auto"/>
          <w:highlight w:val="none"/>
        </w:rPr>
      </w:pPr>
      <w:bookmarkStart w:id="43" w:name="_Toc13246"/>
      <w:bookmarkStart w:id="44" w:name="_Toc75796287"/>
      <w:r>
        <w:rPr>
          <w:rFonts w:hint="eastAsia"/>
          <w:color w:val="auto"/>
          <w:highlight w:val="none"/>
        </w:rPr>
        <w:t>售后服务要求</w:t>
      </w:r>
      <w:bookmarkEnd w:id="43"/>
      <w:bookmarkEnd w:id="44"/>
    </w:p>
    <w:p>
      <w:pPr>
        <w:pStyle w:val="6"/>
        <w:rPr>
          <w:color w:val="auto"/>
          <w:highlight w:val="none"/>
        </w:rPr>
      </w:pPr>
      <w:bookmarkStart w:id="45" w:name="_Toc14411"/>
      <w:r>
        <w:rPr>
          <w:rFonts w:hint="eastAsia"/>
          <w:color w:val="auto"/>
          <w:highlight w:val="none"/>
        </w:rPr>
        <w:t>免费维护服务要求</w:t>
      </w:r>
      <w:bookmarkEnd w:id="45"/>
    </w:p>
    <w:p>
      <w:pPr>
        <w:ind w:firstLine="480" w:firstLineChars="200"/>
        <w:jc w:val="left"/>
        <w:rPr>
          <w:color w:val="auto"/>
          <w:highlight w:val="none"/>
        </w:rPr>
      </w:pPr>
      <w:r>
        <w:rPr>
          <w:rFonts w:hint="eastAsia"/>
          <w:color w:val="auto"/>
          <w:highlight w:val="none"/>
        </w:rPr>
        <w:t>免费维护服务期为一年，从本项目最终验收合格之日起计算，包括系统维护和免费升级和人工保修维护服务、</w:t>
      </w:r>
      <w:r>
        <w:rPr>
          <w:rFonts w:hint="eastAsia" w:ascii="宋体" w:hAnsi="宋体" w:eastAsia="宋体" w:cs="宋体"/>
          <w:color w:val="auto"/>
          <w:highlight w:val="none"/>
          <w:lang w:bidi="ar"/>
        </w:rPr>
        <w:t>技术支持服务、</w:t>
      </w:r>
      <w:r>
        <w:rPr>
          <w:rFonts w:hint="eastAsia" w:ascii="宋体" w:hAnsi="宋体" w:eastAsia="宋体" w:cs="微软雅黑"/>
          <w:color w:val="auto"/>
          <w:highlight w:val="none"/>
          <w:lang w:bidi="ar"/>
        </w:rPr>
        <w:t>系统管理及操作培训</w:t>
      </w:r>
      <w:r>
        <w:rPr>
          <w:rFonts w:hint="eastAsia" w:ascii="宋体" w:hAnsi="宋体" w:eastAsia="宋体" w:cs="宋体"/>
          <w:color w:val="auto"/>
          <w:highlight w:val="none"/>
          <w:lang w:bidi="ar"/>
        </w:rPr>
        <w:t>，</w:t>
      </w:r>
      <w:r>
        <w:rPr>
          <w:rFonts w:hint="eastAsia" w:ascii="宋体" w:hAnsi="宋体" w:eastAsia="宋体" w:cs="微软雅黑"/>
          <w:color w:val="auto"/>
          <w:highlight w:val="none"/>
          <w:lang w:bidi="ar"/>
        </w:rPr>
        <w:t>免费提供系统个性化修改需求，</w:t>
      </w:r>
      <w:r>
        <w:rPr>
          <w:rFonts w:hint="eastAsia"/>
          <w:color w:val="auto"/>
          <w:highlight w:val="none"/>
        </w:rPr>
        <w:t>质保期免维修费用，免上门费。</w:t>
      </w:r>
    </w:p>
    <w:p>
      <w:pPr>
        <w:pStyle w:val="2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安装调试要求：免费送货上门、安装调试、提供完善的软件系统使用中文操作手册、图纸、网络详细拓扑图、系统配置、功能配置、设备配置及互联记录；</w:t>
      </w:r>
    </w:p>
    <w:p>
      <w:pPr>
        <w:pStyle w:val="2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8小时内需到达现场处理修复，并调查分析事故原因，如现场仍不能解决问题，需24小时内免费提供同档次或更高档次的备用设备解决问题。</w:t>
      </w:r>
    </w:p>
    <w:p>
      <w:pPr>
        <w:ind w:firstLine="420"/>
        <w:jc w:val="left"/>
        <w:rPr>
          <w:rFonts w:ascii="宋体" w:hAnsi="宋体" w:eastAsia="宋体" w:cs="宋体"/>
          <w:color w:val="auto"/>
          <w:highlight w:val="none"/>
          <w:lang w:bidi="ar"/>
        </w:rPr>
      </w:pPr>
      <w:r>
        <w:rPr>
          <w:rFonts w:hint="eastAsia" w:ascii="宋体" w:hAnsi="宋体" w:eastAsia="宋体" w:cs="宋体"/>
          <w:color w:val="auto"/>
          <w:highlight w:val="none"/>
          <w:lang w:bidi="ar"/>
        </w:rPr>
        <w:t>供应商提供原厂技术人员定期回访服务，定期通过电话或其他方式访问用户，了解产品使用情况及网络安全情况，须在每半年进行一次巡检，并形成巡检服务报告，加盖有效公章并反馈给我院。</w:t>
      </w:r>
    </w:p>
    <w:p>
      <w:pPr>
        <w:ind w:firstLine="420"/>
        <w:jc w:val="left"/>
        <w:rPr>
          <w:color w:val="auto"/>
          <w:highlight w:val="none"/>
        </w:rPr>
      </w:pPr>
      <w:r>
        <w:rPr>
          <w:rFonts w:hint="eastAsia" w:ascii="宋体" w:hAnsi="宋体" w:eastAsia="宋体" w:cs="宋体"/>
          <w:color w:val="auto"/>
          <w:szCs w:val="22"/>
          <w:highlight w:val="none"/>
          <w:lang w:bidi="ar"/>
        </w:rPr>
        <w:t>供应商提供的任何软件系统以及在服务器中都不能设置任何形式的系统加密软硬件，如有特殊需要必须提交纸质文件说明，经过我院签字同意才可设置。</w:t>
      </w:r>
    </w:p>
    <w:p>
      <w:pPr>
        <w:pStyle w:val="6"/>
        <w:rPr>
          <w:color w:val="auto"/>
          <w:highlight w:val="none"/>
        </w:rPr>
      </w:pPr>
      <w:bookmarkStart w:id="46" w:name="_Toc2229"/>
      <w:r>
        <w:rPr>
          <w:rFonts w:hint="eastAsia"/>
          <w:color w:val="auto"/>
          <w:highlight w:val="none"/>
        </w:rPr>
        <w:t>绩效咨询售后服务范围</w:t>
      </w:r>
      <w:bookmarkEnd w:id="46"/>
    </w:p>
    <w:p>
      <w:pPr>
        <w:pStyle w:val="5"/>
        <w:ind w:firstLine="480"/>
        <w:rPr>
          <w:color w:val="auto"/>
          <w:highlight w:val="none"/>
        </w:rPr>
      </w:pPr>
      <w:r>
        <w:rPr>
          <w:rFonts w:hint="eastAsia"/>
          <w:color w:val="auto"/>
          <w:highlight w:val="none"/>
        </w:rPr>
        <w:t>（1）医院绩效政策调整时的管理咨询与相应调整服务。</w:t>
      </w:r>
    </w:p>
    <w:p>
      <w:pPr>
        <w:pStyle w:val="5"/>
        <w:ind w:firstLine="480"/>
        <w:rPr>
          <w:color w:val="auto"/>
          <w:highlight w:val="none"/>
        </w:rPr>
      </w:pPr>
      <w:r>
        <w:rPr>
          <w:rFonts w:hint="eastAsia"/>
          <w:color w:val="auto"/>
          <w:highlight w:val="none"/>
        </w:rPr>
        <w:t>（2）根据科室反馈意见，提供相应的咨询管理建议。</w:t>
      </w:r>
    </w:p>
    <w:p>
      <w:pPr>
        <w:pStyle w:val="5"/>
        <w:ind w:firstLine="480"/>
        <w:rPr>
          <w:color w:val="auto"/>
          <w:highlight w:val="none"/>
        </w:rPr>
      </w:pPr>
      <w:r>
        <w:rPr>
          <w:rFonts w:hint="eastAsia"/>
          <w:color w:val="auto"/>
          <w:highlight w:val="none"/>
        </w:rPr>
        <w:t>（3）科室新增或变动诊疗项目时，提供相应的咨询管理服务。</w:t>
      </w:r>
    </w:p>
    <w:p>
      <w:pPr>
        <w:pStyle w:val="6"/>
        <w:rPr>
          <w:color w:val="auto"/>
          <w:highlight w:val="none"/>
        </w:rPr>
      </w:pPr>
      <w:bookmarkStart w:id="47" w:name="_Toc13042"/>
      <w:r>
        <w:rPr>
          <w:rFonts w:hint="eastAsia"/>
          <w:color w:val="auto"/>
          <w:highlight w:val="none"/>
        </w:rPr>
        <w:t>绩效管理系统售后服务范围</w:t>
      </w:r>
      <w:bookmarkEnd w:id="47"/>
    </w:p>
    <w:p>
      <w:pPr>
        <w:pStyle w:val="5"/>
        <w:ind w:firstLine="480"/>
        <w:rPr>
          <w:color w:val="auto"/>
          <w:highlight w:val="none"/>
        </w:rPr>
      </w:pPr>
      <w:r>
        <w:rPr>
          <w:rFonts w:hint="eastAsia"/>
          <w:color w:val="auto"/>
          <w:highlight w:val="none"/>
        </w:rPr>
        <w:t>（1）每季度对数据库优化调校，确保数据来源正确。</w:t>
      </w:r>
    </w:p>
    <w:p>
      <w:pPr>
        <w:pStyle w:val="5"/>
        <w:ind w:firstLine="480"/>
        <w:rPr>
          <w:color w:val="auto"/>
          <w:highlight w:val="none"/>
        </w:rPr>
      </w:pPr>
      <w:r>
        <w:rPr>
          <w:rFonts w:hint="eastAsia"/>
          <w:color w:val="auto"/>
          <w:highlight w:val="none"/>
        </w:rPr>
        <w:t>（2）每季进对系统的例行更新和效能调整，确保系统运行速度。</w:t>
      </w:r>
    </w:p>
    <w:p>
      <w:pPr>
        <w:pStyle w:val="5"/>
        <w:ind w:firstLine="480"/>
        <w:rPr>
          <w:color w:val="auto"/>
          <w:highlight w:val="none"/>
        </w:rPr>
      </w:pPr>
      <w:r>
        <w:rPr>
          <w:rFonts w:hint="eastAsia"/>
          <w:color w:val="auto"/>
          <w:highlight w:val="none"/>
        </w:rPr>
        <w:t>（3）每年度至少提供一次升级服务，确保系统为最新升级版本。</w:t>
      </w:r>
    </w:p>
    <w:p>
      <w:pPr>
        <w:pStyle w:val="5"/>
        <w:ind w:firstLine="480"/>
        <w:rPr>
          <w:color w:val="auto"/>
          <w:highlight w:val="none"/>
        </w:rPr>
      </w:pPr>
      <w:r>
        <w:rPr>
          <w:rFonts w:hint="eastAsia"/>
          <w:color w:val="auto"/>
          <w:highlight w:val="none"/>
        </w:rPr>
        <w:t>（5）系统操作如有疑问，提供电话技术支持及远端遥控支持。</w:t>
      </w:r>
      <w:r>
        <w:rPr>
          <w:color w:val="auto"/>
          <w:highlight w:val="none"/>
        </w:rPr>
        <w:t xml:space="preserve"> </w:t>
      </w:r>
    </w:p>
    <w:p>
      <w:pPr>
        <w:pStyle w:val="5"/>
        <w:ind w:firstLine="480"/>
        <w:rPr>
          <w:color w:val="auto"/>
          <w:highlight w:val="none"/>
        </w:rPr>
      </w:pPr>
      <w:r>
        <w:rPr>
          <w:rFonts w:hint="eastAsia"/>
          <w:color w:val="auto"/>
          <w:highlight w:val="none"/>
        </w:rPr>
        <w:t>（6）系统如发生问题，首先采用电话技术或远端遥控支持。提供7×24小时电话热线</w:t>
      </w:r>
      <w:r>
        <w:rPr>
          <w:rFonts w:hint="eastAsia"/>
          <w:color w:val="auto"/>
          <w:highlight w:val="none"/>
        </w:rPr>
        <w:tab/>
      </w:r>
      <w:r>
        <w:rPr>
          <w:rFonts w:hint="eastAsia"/>
          <w:color w:val="auto"/>
          <w:highlight w:val="none"/>
        </w:rPr>
        <w:t>支持和传真服务。项目建设及售后服务期间，若因中标方的责任出现系统故障，中标公司应在接到报修或维护的通知后立即处理，并承诺在2小时内响应，4小时内恢复。如不能远程处理的缺陷或障碍，软件工程师应在48小时内到达现场并进行修复。逾期，双方协商后可委托第三方进行修复，由此产生的相关费用由中标方全部承担。</w:t>
      </w:r>
    </w:p>
    <w:p>
      <w:pPr>
        <w:pStyle w:val="5"/>
        <w:ind w:firstLine="480"/>
        <w:rPr>
          <w:color w:val="auto"/>
          <w:highlight w:val="none"/>
        </w:rPr>
      </w:pPr>
      <w:r>
        <w:rPr>
          <w:rFonts w:hint="eastAsia"/>
          <w:color w:val="auto"/>
          <w:highlight w:val="none"/>
        </w:rPr>
        <w:t>（7）遇到下列情况：省物价大调整、院区新启用大楼、更换或修改相关信息系统时（</w:t>
      </w:r>
      <w:r>
        <w:rPr>
          <w:color w:val="auto"/>
          <w:highlight w:val="none"/>
        </w:rPr>
        <w:t>HIS</w:t>
      </w:r>
      <w:r>
        <w:rPr>
          <w:rFonts w:hint="eastAsia"/>
          <w:color w:val="auto"/>
          <w:highlight w:val="none"/>
        </w:rPr>
        <w:t>，会计，资材…）和卫计委重大政策等致使绩效系统需进行重大修改的，乙方配合完成相应绩效系统调整，而价格需双方另行友好协商（零加成后的修改不计费用）。</w:t>
      </w:r>
    </w:p>
    <w:p>
      <w:pPr>
        <w:pStyle w:val="5"/>
        <w:ind w:firstLine="480"/>
        <w:rPr>
          <w:color w:val="auto"/>
          <w:highlight w:val="none"/>
        </w:rPr>
      </w:pPr>
      <w:r>
        <w:rPr>
          <w:rFonts w:hint="eastAsia"/>
          <w:color w:val="auto"/>
          <w:highlight w:val="none"/>
        </w:rPr>
        <w:t>（8）完成</w:t>
      </w:r>
      <w:r>
        <w:rPr>
          <w:color w:val="auto"/>
          <w:highlight w:val="none"/>
        </w:rPr>
        <w:t xml:space="preserve">DRG/DIP </w:t>
      </w:r>
      <w:r>
        <w:rPr>
          <w:rFonts w:hint="eastAsia"/>
          <w:color w:val="auto"/>
          <w:highlight w:val="none"/>
        </w:rPr>
        <w:t>环境下绩效奖金扣罚或奖励。</w:t>
      </w:r>
    </w:p>
    <w:p>
      <w:pPr>
        <w:pStyle w:val="4"/>
        <w:rPr>
          <w:color w:val="auto"/>
          <w:highlight w:val="none"/>
        </w:rPr>
      </w:pPr>
      <w:bookmarkStart w:id="48" w:name="_Toc188"/>
      <w:bookmarkStart w:id="49" w:name="_Toc75796289"/>
      <w:r>
        <w:rPr>
          <w:rFonts w:hint="eastAsia"/>
          <w:color w:val="auto"/>
          <w:highlight w:val="none"/>
        </w:rPr>
        <w:t>付款方式</w:t>
      </w:r>
      <w:bookmarkEnd w:id="48"/>
      <w:bookmarkEnd w:id="49"/>
    </w:p>
    <w:p>
      <w:pPr>
        <w:ind w:firstLine="480" w:firstLineChars="200"/>
        <w:jc w:val="left"/>
        <w:rPr>
          <w:rFonts w:ascii="宋体" w:hAnsi="宋体" w:cs="微软雅黑"/>
          <w:color w:val="auto"/>
          <w:highlight w:val="none"/>
          <w:lang w:bidi="ar"/>
        </w:rPr>
      </w:pPr>
      <w:r>
        <w:rPr>
          <w:rFonts w:hint="eastAsia" w:ascii="宋体" w:hAnsi="宋体" w:eastAsia="宋体" w:cs="微软雅黑"/>
          <w:color w:val="auto"/>
          <w:highlight w:val="none"/>
          <w:lang w:bidi="ar"/>
        </w:rPr>
        <w:t>合同签订后，</w:t>
      </w:r>
      <w:r>
        <w:rPr>
          <w:rFonts w:hint="eastAsia"/>
          <w:color w:val="auto"/>
          <w:highlight w:val="none"/>
        </w:rPr>
        <w:t>乙方</w:t>
      </w:r>
      <w:r>
        <w:rPr>
          <w:rFonts w:hint="eastAsia" w:ascii="宋体" w:hAnsi="宋体" w:eastAsia="宋体" w:cs="微软雅黑"/>
          <w:color w:val="auto"/>
          <w:highlight w:val="none"/>
          <w:lang w:bidi="ar"/>
        </w:rPr>
        <w:t>安排实施人员进场开始实施，在</w:t>
      </w:r>
      <w:r>
        <w:rPr>
          <w:rFonts w:ascii="宋体" w:hAnsi="宋体" w:eastAsia="宋体" w:cs="微软雅黑"/>
          <w:color w:val="auto"/>
          <w:highlight w:val="none"/>
          <w:lang w:bidi="ar"/>
        </w:rPr>
        <w:t>双方签署进场确认书后，</w:t>
      </w:r>
      <w:r>
        <w:rPr>
          <w:rFonts w:hint="eastAsia" w:ascii="宋体" w:hAnsi="宋体" w:eastAsia="宋体" w:cs="微软雅黑"/>
          <w:color w:val="auto"/>
          <w:highlight w:val="none"/>
          <w:lang w:bidi="ar"/>
        </w:rPr>
        <w:t>同时甲方向乙方支付合同总价款项的</w:t>
      </w:r>
      <w:r>
        <w:rPr>
          <w:rFonts w:hint="eastAsia"/>
          <w:color w:val="auto"/>
          <w:highlight w:val="none"/>
        </w:rPr>
        <w:t>30％；</w:t>
      </w:r>
    </w:p>
    <w:p>
      <w:pPr>
        <w:ind w:firstLine="480" w:firstLineChars="200"/>
        <w:jc w:val="left"/>
        <w:rPr>
          <w:color w:val="auto"/>
          <w:highlight w:val="none"/>
        </w:rPr>
      </w:pPr>
      <w:r>
        <w:rPr>
          <w:rFonts w:hint="eastAsia"/>
          <w:color w:val="auto"/>
          <w:highlight w:val="none"/>
        </w:rPr>
        <w:t>系统上线稳定运行，乙方针对甲方的相关人员培训，由乙方辅导甲方人员使用系统，按方案如期发放第一个月绩效奖金后启动上线验收，上线验收合格后甲方向乙方支付合同总价款的30％；</w:t>
      </w:r>
    </w:p>
    <w:p>
      <w:pPr>
        <w:ind w:firstLine="480" w:firstLineChars="200"/>
        <w:jc w:val="left"/>
        <w:rPr>
          <w:color w:val="auto"/>
          <w:highlight w:val="none"/>
        </w:rPr>
      </w:pPr>
      <w:r>
        <w:rPr>
          <w:rFonts w:hint="eastAsia"/>
          <w:color w:val="auto"/>
          <w:highlight w:val="none"/>
        </w:rPr>
        <w:t>系统功能实施完毕，且系统稳定运行，按实施方案如期正常发放第三个月绩效奖金，且完成绩效管理系统的人员培训后启动项目验收，项目验</w:t>
      </w:r>
      <w:bookmarkStart w:id="55" w:name="_GoBack"/>
      <w:bookmarkEnd w:id="55"/>
      <w:r>
        <w:rPr>
          <w:rFonts w:hint="eastAsia"/>
          <w:color w:val="auto"/>
          <w:highlight w:val="none"/>
        </w:rPr>
        <w:t>收合格后甲方向乙方支付合同总价款的30％；</w:t>
      </w:r>
    </w:p>
    <w:p>
      <w:pPr>
        <w:ind w:firstLine="480" w:firstLineChars="200"/>
        <w:jc w:val="left"/>
        <w:rPr>
          <w:rFonts w:ascii="宋体" w:hAnsi="宋体" w:eastAsia="宋体" w:cs="微软雅黑"/>
          <w:color w:val="auto"/>
          <w:highlight w:val="none"/>
          <w:lang w:bidi="ar"/>
        </w:rPr>
      </w:pPr>
      <w:r>
        <w:rPr>
          <w:rFonts w:hint="eastAsia" w:ascii="宋体" w:hAnsi="宋体" w:eastAsia="宋体" w:cs="微软雅黑"/>
          <w:color w:val="auto"/>
          <w:highlight w:val="none"/>
          <w:lang w:bidi="ar"/>
        </w:rPr>
        <w:t>自项目验收合格之日起，1年后甲方向乙方支付合同总价款的10%。</w:t>
      </w:r>
    </w:p>
    <w:p>
      <w:pPr>
        <w:pStyle w:val="4"/>
        <w:rPr>
          <w:color w:val="auto"/>
          <w:highlight w:val="none"/>
        </w:rPr>
      </w:pPr>
      <w:bookmarkStart w:id="50" w:name="_Toc5391"/>
      <w:r>
        <w:rPr>
          <w:rFonts w:hint="eastAsia"/>
          <w:color w:val="auto"/>
          <w:highlight w:val="none"/>
        </w:rPr>
        <w:t>违约责任</w:t>
      </w:r>
      <w:bookmarkEnd w:id="50"/>
    </w:p>
    <w:p>
      <w:pPr>
        <w:pStyle w:val="13"/>
        <w:spacing w:after="120"/>
        <w:ind w:firstLine="420"/>
        <w:rPr>
          <w:rFonts w:ascii="宋体" w:hAnsi="宋体" w:eastAsia="宋体" w:cs="宋体"/>
          <w:color w:val="auto"/>
          <w:highlight w:val="none"/>
        </w:rPr>
      </w:pPr>
      <w:r>
        <w:rPr>
          <w:rFonts w:hint="eastAsia" w:ascii="宋体" w:hAnsi="宋体" w:eastAsia="宋体" w:cs="宋体"/>
          <w:color w:val="auto"/>
          <w:highlight w:val="none"/>
          <w:lang w:bidi="ar"/>
        </w:rPr>
        <w:t>10.3.1投标方所提供的系统不合格的，应及时更换或升级，更换不及时的按逾期交付处罚。</w:t>
      </w:r>
      <w:r>
        <w:rPr>
          <w:rFonts w:hint="eastAsia" w:ascii="宋体" w:hAnsi="宋体" w:eastAsia="宋体" w:cs="宋体"/>
          <w:color w:val="auto"/>
          <w:szCs w:val="22"/>
          <w:highlight w:val="none"/>
          <w:lang w:bidi="ar"/>
        </w:rPr>
        <w:t>投标方逾期交付的</w:t>
      </w:r>
      <w:r>
        <w:rPr>
          <w:rFonts w:hint="eastAsia" w:ascii="宋体" w:hAnsi="宋体" w:eastAsia="宋体" w:cs="微软雅黑"/>
          <w:color w:val="auto"/>
          <w:highlight w:val="none"/>
          <w:lang w:bidi="ar"/>
        </w:rPr>
        <w:t>（非投标方因素导致的除外）</w:t>
      </w:r>
      <w:r>
        <w:rPr>
          <w:rFonts w:hint="eastAsia" w:ascii="宋体" w:hAnsi="宋体" w:eastAsia="宋体" w:cs="宋体"/>
          <w:color w:val="auto"/>
          <w:szCs w:val="22"/>
          <w:highlight w:val="none"/>
          <w:lang w:bidi="ar"/>
        </w:rPr>
        <w:t>，每天向甲方偿付违约货款额1‰违约金，但违约金累计不得超过违约货款额1% ，超过30天对方有权解除合同，违约方承担因此给对方造成的经济损失；</w:t>
      </w:r>
    </w:p>
    <w:p>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lang w:bidi="ar"/>
        </w:rPr>
        <w:t>10.3.2投标方提供的系统如侵犯了第三方合法权益而引发的任何纠纷或诉讼，均由投标方负责交涉并承担全部责任。</w:t>
      </w:r>
    </w:p>
    <w:p>
      <w:pPr>
        <w:pStyle w:val="13"/>
        <w:spacing w:after="120"/>
        <w:ind w:firstLine="420"/>
        <w:rPr>
          <w:rFonts w:ascii="宋体" w:hAnsi="宋体" w:eastAsia="宋体" w:cs="宋体"/>
          <w:color w:val="auto"/>
          <w:szCs w:val="22"/>
          <w:highlight w:val="none"/>
        </w:rPr>
      </w:pPr>
      <w:r>
        <w:rPr>
          <w:rFonts w:hint="eastAsia" w:ascii="宋体" w:hAnsi="宋体" w:eastAsia="宋体" w:cs="宋体"/>
          <w:color w:val="auto"/>
          <w:szCs w:val="22"/>
          <w:highlight w:val="none"/>
          <w:lang w:bidi="ar"/>
        </w:rPr>
        <w:t>10.3.3售后服务违约：</w:t>
      </w:r>
    </w:p>
    <w:p>
      <w:pPr>
        <w:pStyle w:val="13"/>
        <w:spacing w:after="120"/>
        <w:ind w:firstLine="420"/>
        <w:rPr>
          <w:rFonts w:ascii="宋体" w:hAnsi="宋体" w:eastAsia="宋体" w:cs="宋体"/>
          <w:color w:val="auto"/>
          <w:szCs w:val="22"/>
          <w:highlight w:val="none"/>
        </w:rPr>
      </w:pPr>
      <w:r>
        <w:rPr>
          <w:rFonts w:hint="eastAsia" w:ascii="宋体" w:hAnsi="宋体" w:eastAsia="宋体" w:cs="宋体"/>
          <w:color w:val="auto"/>
          <w:szCs w:val="22"/>
          <w:highlight w:val="none"/>
          <w:lang w:bidi="ar"/>
        </w:rPr>
        <w:tab/>
      </w:r>
      <w:r>
        <w:rPr>
          <w:rFonts w:hint="eastAsia" w:ascii="宋体" w:hAnsi="宋体" w:eastAsia="宋体" w:cs="宋体"/>
          <w:color w:val="auto"/>
          <w:szCs w:val="22"/>
          <w:highlight w:val="none"/>
          <w:lang w:bidi="ar"/>
        </w:rPr>
        <w:t>每缺少1次巡检记录，投标方应向甲方支付违约金5000元；</w:t>
      </w:r>
    </w:p>
    <w:p>
      <w:pPr>
        <w:pStyle w:val="13"/>
        <w:spacing w:after="120"/>
        <w:ind w:left="420" w:firstLine="420"/>
        <w:rPr>
          <w:rFonts w:ascii="宋体" w:hAnsi="宋体" w:eastAsia="宋体" w:cs="宋体"/>
          <w:color w:val="auto"/>
          <w:szCs w:val="22"/>
          <w:highlight w:val="none"/>
        </w:rPr>
      </w:pPr>
      <w:r>
        <w:rPr>
          <w:rFonts w:hint="eastAsia" w:ascii="宋体" w:hAnsi="宋体" w:eastAsia="宋体" w:cs="宋体"/>
          <w:color w:val="auto"/>
          <w:szCs w:val="22"/>
          <w:highlight w:val="none"/>
          <w:lang w:bidi="ar"/>
        </w:rPr>
        <w:t>投标方未按本技术要求和响应文件中规定的其他服务承诺提供售后服务的，每次投标方应按合同合计金额的1% 向甲方支付违约金。</w:t>
      </w:r>
    </w:p>
    <w:p>
      <w:pPr>
        <w:pStyle w:val="13"/>
        <w:spacing w:after="120"/>
        <w:ind w:firstLine="420"/>
        <w:rPr>
          <w:rFonts w:ascii="宋体" w:hAnsi="宋体" w:eastAsia="宋体" w:cs="宋体"/>
          <w:color w:val="auto"/>
          <w:szCs w:val="22"/>
          <w:highlight w:val="none"/>
        </w:rPr>
      </w:pPr>
      <w:r>
        <w:rPr>
          <w:rFonts w:hint="eastAsia" w:ascii="宋体" w:hAnsi="宋体" w:eastAsia="宋体" w:cs="宋体"/>
          <w:color w:val="auto"/>
          <w:szCs w:val="22"/>
          <w:highlight w:val="none"/>
          <w:lang w:bidi="ar"/>
        </w:rPr>
        <w:t>因软件提供商原因逾期不进场实施的（非软件提供商因素导致的除外），需按每天向院方支付合同款金额1‰作为违约金，超过30天，甲方有权解除合同，乙方需承担因此给院方造成的经济损失；不能按照合同约定上线期限完成（非乙方因素导致的除外），需要书面申请说明原因，如由于项目建设方原因导致项目延期的，甲方有权单方面解除合同，同时按合同总金额的20%作为违约金，由项目建设方支付给甲方。</w:t>
      </w:r>
    </w:p>
    <w:p>
      <w:pPr>
        <w:pStyle w:val="13"/>
        <w:spacing w:after="120"/>
        <w:ind w:firstLine="420"/>
        <w:rPr>
          <w:rFonts w:ascii="宋体" w:hAnsi="宋体" w:eastAsia="宋体" w:cs="宋体"/>
          <w:color w:val="auto"/>
          <w:szCs w:val="22"/>
          <w:highlight w:val="none"/>
        </w:rPr>
      </w:pPr>
      <w:r>
        <w:rPr>
          <w:rFonts w:hint="eastAsia" w:ascii="宋体" w:hAnsi="宋体" w:eastAsia="宋体" w:cs="宋体"/>
          <w:color w:val="auto"/>
          <w:szCs w:val="22"/>
          <w:highlight w:val="none"/>
          <w:lang w:bidi="ar"/>
        </w:rPr>
        <w:t>6.7任何一方违反本技术要求项目建设方中“保密、廉洁条款”要求的，应承担相应的违约责任并赔偿由此造成的损失，损失累计金额超过合同款项的2%的，损失方同时有权终止合同并收回已付款项。</w:t>
      </w:r>
    </w:p>
    <w:p>
      <w:pPr>
        <w:pStyle w:val="13"/>
        <w:spacing w:after="120"/>
        <w:ind w:firstLine="420"/>
        <w:rPr>
          <w:rFonts w:ascii="宋体" w:hAnsi="宋体" w:eastAsia="宋体" w:cs="宋体"/>
          <w:color w:val="auto"/>
          <w:szCs w:val="22"/>
          <w:highlight w:val="none"/>
        </w:rPr>
      </w:pPr>
      <w:r>
        <w:rPr>
          <w:rFonts w:hint="eastAsia" w:ascii="宋体" w:hAnsi="宋体" w:eastAsia="宋体" w:cs="宋体"/>
          <w:color w:val="auto"/>
          <w:szCs w:val="22"/>
          <w:highlight w:val="none"/>
          <w:lang w:bidi="ar"/>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pPr>
        <w:pStyle w:val="13"/>
        <w:spacing w:after="120"/>
        <w:ind w:firstLine="420"/>
        <w:rPr>
          <w:rFonts w:ascii="宋体" w:hAnsi="宋体" w:eastAsia="宋体" w:cs="宋体"/>
          <w:color w:val="auto"/>
          <w:szCs w:val="22"/>
          <w:highlight w:val="none"/>
        </w:rPr>
      </w:pPr>
      <w:r>
        <w:rPr>
          <w:rFonts w:hint="eastAsia" w:ascii="宋体" w:hAnsi="宋体" w:eastAsia="宋体" w:cs="宋体"/>
          <w:color w:val="auto"/>
          <w:highlight w:val="none"/>
          <w:lang w:bidi="ar"/>
        </w:rPr>
        <w:t>6.9维保期前后，乙方或软件厂商不得对甲方使用的本系统及对接的系统做任何系统功能限制从而导致影响甲方正常业务的运行，因此对甲方造成损失的，乙方应赔偿相应损失。</w:t>
      </w:r>
    </w:p>
    <w:p>
      <w:pPr>
        <w:pStyle w:val="13"/>
        <w:spacing w:after="120"/>
        <w:ind w:firstLine="420"/>
        <w:rPr>
          <w:rFonts w:ascii="宋体" w:hAnsi="宋体" w:eastAsia="宋体" w:cs="宋体"/>
          <w:color w:val="auto"/>
          <w:szCs w:val="22"/>
          <w:highlight w:val="none"/>
        </w:rPr>
      </w:pPr>
      <w:r>
        <w:rPr>
          <w:rFonts w:hint="eastAsia" w:ascii="宋体" w:hAnsi="宋体" w:eastAsia="宋体" w:cs="宋体"/>
          <w:color w:val="auto"/>
          <w:highlight w:val="none"/>
          <w:lang w:bidi="ar"/>
        </w:rPr>
        <w:t>6.10厂商驻场工程师人员变更必须经过医院书面同意，否则视为乙方违约，乙方需支付给甲方违约金20000元/次。</w:t>
      </w:r>
    </w:p>
    <w:p>
      <w:pPr>
        <w:pStyle w:val="13"/>
        <w:spacing w:after="120"/>
        <w:ind w:firstLine="420"/>
        <w:rPr>
          <w:color w:val="auto"/>
          <w:highlight w:val="none"/>
        </w:rPr>
      </w:pPr>
      <w:r>
        <w:rPr>
          <w:rFonts w:hint="eastAsia" w:ascii="宋体" w:hAnsi="宋体" w:eastAsia="宋体" w:cs="宋体"/>
          <w:color w:val="auto"/>
          <w:szCs w:val="22"/>
          <w:highlight w:val="none"/>
          <w:lang w:bidi="ar"/>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bookmarkStart w:id="51" w:name="_Toc75796290"/>
    </w:p>
    <w:p>
      <w:pPr>
        <w:pStyle w:val="4"/>
        <w:rPr>
          <w:color w:val="auto"/>
          <w:highlight w:val="none"/>
        </w:rPr>
      </w:pPr>
      <w:bookmarkStart w:id="52" w:name="_Toc30062"/>
      <w:r>
        <w:rPr>
          <w:rFonts w:hint="eastAsia"/>
          <w:color w:val="auto"/>
          <w:highlight w:val="none"/>
        </w:rPr>
        <w:t>保密、廉洁协议</w:t>
      </w:r>
      <w:bookmarkEnd w:id="51"/>
      <w:bookmarkEnd w:id="52"/>
    </w:p>
    <w:p>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lang w:bidi="ar"/>
        </w:rPr>
        <w:t>10.4.1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lang w:bidi="ar"/>
        </w:rPr>
        <w:t>10.45.2双方不得以任何方式向第三方泄露本项目的软件技术、设计方案以及功能配置等内容。</w:t>
      </w:r>
    </w:p>
    <w:p>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lang w:bidi="ar"/>
        </w:rPr>
        <w:t>10.4.3不以任何方式向第三方泄露在本协议开发实施过程中获取的经济、技术、数据以及双方其他非公开的信息。</w:t>
      </w:r>
    </w:p>
    <w:p>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lang w:bidi="ar"/>
        </w:rPr>
        <w:t>10.4.4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ind w:firstLine="480" w:firstLineChars="200"/>
        <w:jc w:val="left"/>
        <w:rPr>
          <w:rFonts w:ascii="宋体" w:hAnsi="宋体" w:eastAsia="宋体" w:cs="宋体"/>
          <w:color w:val="auto"/>
          <w:highlight w:val="none"/>
          <w:lang w:bidi="ar"/>
        </w:rPr>
      </w:pPr>
      <w:r>
        <w:rPr>
          <w:rFonts w:hint="eastAsia" w:ascii="宋体" w:hAnsi="宋体" w:eastAsia="宋体" w:cs="宋体"/>
          <w:color w:val="auto"/>
          <w:highlight w:val="none"/>
          <w:lang w:bidi="ar"/>
        </w:rPr>
        <w:t>10.4.5保密期限自本合同生效之日起永久有效，如乙方需解除保密协议需向甲方提出书面申请，双方协商同意签字确认后方可解除。</w:t>
      </w:r>
    </w:p>
    <w:p>
      <w:pPr>
        <w:pStyle w:val="4"/>
        <w:rPr>
          <w:color w:val="auto"/>
          <w:highlight w:val="none"/>
        </w:rPr>
      </w:pPr>
      <w:bookmarkStart w:id="53" w:name="_Toc30970"/>
      <w:bookmarkStart w:id="54" w:name="_Toc75796288"/>
      <w:r>
        <w:rPr>
          <w:rFonts w:hint="eastAsia"/>
          <w:color w:val="auto"/>
          <w:highlight w:val="none"/>
        </w:rPr>
        <w:t>报价要求</w:t>
      </w:r>
      <w:bookmarkEnd w:id="53"/>
      <w:bookmarkEnd w:id="54"/>
    </w:p>
    <w:p>
      <w:pPr>
        <w:pStyle w:val="5"/>
        <w:ind w:firstLine="480"/>
        <w:rPr>
          <w:color w:val="auto"/>
          <w:highlight w:val="none"/>
        </w:rPr>
      </w:pPr>
      <w:r>
        <w:rPr>
          <w:rFonts w:hint="eastAsia"/>
          <w:color w:val="auto"/>
          <w:highlight w:val="none"/>
        </w:rPr>
        <w:t>本次投标报价应包含税费、人工费、材料费、培训费、验收费、系统软件开发费、</w:t>
      </w:r>
      <w:r>
        <w:rPr>
          <w:rFonts w:hint="eastAsia" w:ascii="宋体" w:hAnsi="宋体" w:eastAsia="宋体" w:cs="宋体"/>
          <w:color w:val="auto"/>
          <w:szCs w:val="24"/>
          <w:highlight w:val="none"/>
          <w:lang w:bidi="ar"/>
        </w:rPr>
        <w:t>调试实施、培训费用、</w:t>
      </w:r>
      <w:r>
        <w:rPr>
          <w:rFonts w:hint="eastAsia"/>
          <w:color w:val="auto"/>
          <w:highlight w:val="none"/>
        </w:rPr>
        <w:t>售后服务等费用，</w:t>
      </w:r>
      <w:r>
        <w:rPr>
          <w:rFonts w:hint="eastAsia" w:ascii="宋体" w:hAnsi="宋体" w:eastAsia="宋体" w:cs="宋体"/>
          <w:color w:val="auto"/>
          <w:szCs w:val="24"/>
          <w:highlight w:val="none"/>
          <w:lang w:bidi="ar"/>
        </w:rPr>
        <w:t>以及明示所有责任、义务和一切风险。</w:t>
      </w:r>
      <w:r>
        <w:rPr>
          <w:rFonts w:hint="eastAsia"/>
          <w:color w:val="auto"/>
          <w:highlight w:val="none"/>
        </w:rPr>
        <w:t>直到验收合格为止，招标人不再支付除合同价款以外的任何费用。</w:t>
      </w:r>
    </w:p>
    <w:p>
      <w:pPr>
        <w:pStyle w:val="13"/>
        <w:spacing w:after="120"/>
        <w:ind w:firstLine="420"/>
        <w:rPr>
          <w:rFonts w:ascii="宋体" w:hAnsi="宋体" w:eastAsia="宋体" w:cs="宋体"/>
          <w:color w:val="auto"/>
          <w:highlight w:val="none"/>
          <w:lang w:bidi="ar"/>
        </w:rPr>
      </w:pPr>
      <w:r>
        <w:rPr>
          <w:rFonts w:hint="eastAsia" w:ascii="宋体" w:hAnsi="宋体" w:eastAsia="宋体" w:cs="宋体"/>
          <w:color w:val="auto"/>
          <w:highlight w:val="none"/>
          <w:lang w:bidi="ar"/>
        </w:rPr>
        <w:t>竞标文件需提供各模块报价、总报价、维保期过保后续保报价。</w:t>
      </w:r>
    </w:p>
    <w:p>
      <w:pPr>
        <w:pStyle w:val="13"/>
        <w:spacing w:after="120"/>
        <w:ind w:firstLine="420"/>
        <w:rPr>
          <w:rFonts w:ascii="宋体" w:hAnsi="宋体" w:eastAsia="宋体" w:cs="宋体"/>
          <w:color w:val="auto"/>
          <w:highlight w:val="none"/>
          <w:lang w:bidi="ar"/>
        </w:rPr>
      </w:pPr>
    </w:p>
    <w:p>
      <w:pPr>
        <w:pStyle w:val="13"/>
        <w:spacing w:after="120"/>
        <w:ind w:firstLine="420"/>
        <w:rPr>
          <w:rFonts w:ascii="宋体" w:hAnsi="宋体" w:eastAsia="宋体" w:cs="宋体"/>
          <w:color w:val="auto"/>
          <w:highlight w:val="none"/>
          <w:lang w:bidi="ar"/>
        </w:rPr>
      </w:pPr>
    </w:p>
    <w:p>
      <w:pPr>
        <w:pStyle w:val="13"/>
        <w:spacing w:after="120"/>
        <w:ind w:firstLine="420"/>
        <w:rPr>
          <w:rFonts w:ascii="宋体" w:hAnsi="宋体" w:eastAsia="宋体" w:cs="宋体"/>
          <w:color w:val="auto"/>
          <w:highlight w:val="none"/>
          <w:lang w:bidi="ar"/>
        </w:rPr>
      </w:pPr>
    </w:p>
    <w:p>
      <w:pPr>
        <w:pStyle w:val="13"/>
        <w:spacing w:after="120"/>
        <w:ind w:firstLine="420"/>
        <w:rPr>
          <w:rFonts w:ascii="宋体" w:hAnsi="宋体" w:eastAsia="宋体" w:cs="宋体"/>
          <w:color w:val="auto"/>
          <w:highlight w:val="none"/>
          <w:lang w:bidi="ar"/>
        </w:rPr>
      </w:pPr>
    </w:p>
    <w:p>
      <w:pPr>
        <w:rPr>
          <w:color w:val="auto"/>
          <w:highlight w:val="none"/>
        </w:rPr>
      </w:pPr>
      <w:r>
        <w:rPr>
          <w:rFonts w:hint="eastAsia"/>
          <w:color w:val="auto"/>
          <w:highlight w:val="none"/>
        </w:rPr>
        <w:t>附件一：</w:t>
      </w:r>
    </w:p>
    <w:tbl>
      <w:tblPr>
        <w:tblStyle w:val="15"/>
        <w:tblW w:w="8876" w:type="dxa"/>
        <w:jc w:val="center"/>
        <w:tblInd w:w="-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1250"/>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spacing w:before="156" w:beforeLines="50"/>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序号</w:t>
            </w:r>
          </w:p>
        </w:tc>
        <w:tc>
          <w:tcPr>
            <w:tcW w:w="1267" w:type="dxa"/>
          </w:tcPr>
          <w:p>
            <w:pPr>
              <w:spacing w:before="156" w:beforeLines="50"/>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模块</w:t>
            </w:r>
          </w:p>
        </w:tc>
        <w:tc>
          <w:tcPr>
            <w:tcW w:w="1250" w:type="dxa"/>
          </w:tcPr>
          <w:p>
            <w:pPr>
              <w:spacing w:before="156" w:beforeLines="50"/>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功能</w:t>
            </w:r>
          </w:p>
        </w:tc>
        <w:tc>
          <w:tcPr>
            <w:tcW w:w="5632" w:type="dxa"/>
          </w:tcPr>
          <w:p>
            <w:pPr>
              <w:spacing w:before="156" w:beforeLines="50"/>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内涵描述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restart"/>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一</w:t>
            </w:r>
          </w:p>
        </w:tc>
        <w:tc>
          <w:tcPr>
            <w:tcW w:w="1267" w:type="dxa"/>
            <w:vMerge w:val="restart"/>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医疗质量相关指标功能</w:t>
            </w: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1、功能定位</w:t>
            </w:r>
          </w:p>
        </w:tc>
        <w:tc>
          <w:tcPr>
            <w:tcW w:w="5632" w:type="dxa"/>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1.门诊人次数与出院人次数比；</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2.下转患者人次数（门急诊、住院）；</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3.日间手术占择期手术比例；</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4.出院患者手术占比；</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5.出院患者微创手术占比；</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6.出院患者四级手术比例；</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7.特需医疗服务占比；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2、质量安全</w:t>
            </w:r>
          </w:p>
        </w:tc>
        <w:tc>
          <w:tcPr>
            <w:tcW w:w="5632" w:type="dxa"/>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8.手术患者并发症发生率；</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9.I 类切口手术部位感染率；</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10.单病种质量控制；</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11.大型医用设备检查阳性率；</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12.大型医用设备维修保养及质量控制管理；</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13.通过国家室间质量评价的临床检验项目数；</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14.低风险组病例死亡率；</w:t>
            </w:r>
          </w:p>
          <w:p>
            <w:pPr>
              <w:jc w:val="left"/>
              <w:rPr>
                <w:rFonts w:ascii="仿宋" w:hAnsi="仿宋" w:eastAsia="仿宋"/>
                <w:color w:val="auto"/>
                <w:sz w:val="21"/>
                <w:szCs w:val="21"/>
                <w:highlight w:val="none"/>
              </w:rPr>
            </w:pPr>
            <w:r>
              <w:rPr>
                <w:rFonts w:hint="eastAsia" w:ascii="宋体" w:hAnsi="宋体" w:eastAsia="宋体"/>
                <w:color w:val="auto"/>
                <w:sz w:val="21"/>
                <w:szCs w:val="21"/>
                <w:highlight w:val="none"/>
              </w:rPr>
              <w:t>15.优质护理服务病房覆盖率；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3、合理用药</w:t>
            </w:r>
          </w:p>
        </w:tc>
        <w:tc>
          <w:tcPr>
            <w:tcW w:w="5632" w:type="dxa"/>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16.点评处方占处方总数的比例；</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17.抗菌药物使用强度（DDDs）；</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18.门诊患者基本药物处方占比；</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19.住院患者基本药物使用率；</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20.基本药物采购品种数占比；</w:t>
            </w:r>
          </w:p>
          <w:p>
            <w:pPr>
              <w:jc w:val="left"/>
              <w:rPr>
                <w:rFonts w:ascii="仿宋" w:hAnsi="仿宋" w:eastAsia="仿宋"/>
                <w:color w:val="auto"/>
                <w:sz w:val="21"/>
                <w:szCs w:val="21"/>
                <w:highlight w:val="none"/>
              </w:rPr>
            </w:pPr>
            <w:r>
              <w:rPr>
                <w:rFonts w:hint="eastAsia" w:ascii="宋体" w:hAnsi="宋体" w:eastAsia="宋体"/>
                <w:color w:val="auto"/>
                <w:sz w:val="21"/>
                <w:szCs w:val="21"/>
                <w:highlight w:val="none"/>
              </w:rPr>
              <w:t>21.国家组织药品集中采购中标药品使用比例；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4、服务流程</w:t>
            </w:r>
          </w:p>
        </w:tc>
        <w:tc>
          <w:tcPr>
            <w:tcW w:w="5632" w:type="dxa"/>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22.门诊患者平均预约诊疗率；</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23.门诊患者预约后平均等待时间；</w:t>
            </w:r>
          </w:p>
          <w:p>
            <w:pPr>
              <w:jc w:val="left"/>
              <w:rPr>
                <w:rFonts w:ascii="仿宋" w:hAnsi="仿宋" w:eastAsia="仿宋"/>
                <w:color w:val="auto"/>
                <w:sz w:val="21"/>
                <w:szCs w:val="21"/>
                <w:highlight w:val="none"/>
              </w:rPr>
            </w:pPr>
            <w:r>
              <w:rPr>
                <w:rFonts w:hint="eastAsia" w:ascii="宋体" w:hAnsi="宋体" w:eastAsia="宋体"/>
                <w:color w:val="auto"/>
                <w:sz w:val="21"/>
                <w:szCs w:val="21"/>
                <w:highlight w:val="none"/>
              </w:rPr>
              <w:t>24.电子病历应用功能水平分级；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restart"/>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二</w:t>
            </w:r>
          </w:p>
        </w:tc>
        <w:tc>
          <w:tcPr>
            <w:tcW w:w="1267" w:type="dxa"/>
            <w:vMerge w:val="restart"/>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运营效率相关指标功能</w:t>
            </w: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1、资源效率</w:t>
            </w:r>
          </w:p>
        </w:tc>
        <w:tc>
          <w:tcPr>
            <w:tcW w:w="5632" w:type="dxa"/>
            <w:vAlign w:val="center"/>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25.每名执业医师日均住院工作负担；</w:t>
            </w:r>
          </w:p>
          <w:p>
            <w:pPr>
              <w:jc w:val="left"/>
              <w:rPr>
                <w:rFonts w:ascii="仿宋" w:hAnsi="仿宋" w:eastAsia="仿宋"/>
                <w:color w:val="auto"/>
                <w:sz w:val="21"/>
                <w:szCs w:val="21"/>
                <w:highlight w:val="none"/>
              </w:rPr>
            </w:pPr>
            <w:r>
              <w:rPr>
                <w:rFonts w:hint="eastAsia" w:ascii="宋体" w:hAnsi="宋体" w:eastAsia="宋体"/>
                <w:color w:val="auto"/>
                <w:sz w:val="21"/>
                <w:szCs w:val="21"/>
                <w:highlight w:val="none"/>
              </w:rPr>
              <w:t>26.每百张病床药师人数；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2、收支结果</w:t>
            </w:r>
          </w:p>
        </w:tc>
        <w:tc>
          <w:tcPr>
            <w:tcW w:w="5632" w:type="dxa"/>
            <w:vAlign w:val="center"/>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27.门诊收入占医疗收入比例；</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28.门诊收入中来自医保基金的比例；</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29.住院收入占医疗收入比例；</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30.住院收入中来自医保基金的比例；</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31.医疗服务收入（ 不含药品、耗材、检查检验收入）占医疗收入比例；</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32.辅助用药收入占比；</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33.人员支出占业务支出比重；</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34.万元收入能耗支出；</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35.收支结余；</w:t>
            </w:r>
          </w:p>
          <w:p>
            <w:pPr>
              <w:jc w:val="left"/>
              <w:rPr>
                <w:rFonts w:ascii="仿宋" w:hAnsi="仿宋" w:eastAsia="仿宋"/>
                <w:color w:val="auto"/>
                <w:sz w:val="21"/>
                <w:szCs w:val="21"/>
                <w:highlight w:val="none"/>
              </w:rPr>
            </w:pPr>
            <w:r>
              <w:rPr>
                <w:rFonts w:hint="eastAsia" w:ascii="宋体" w:hAnsi="宋体" w:eastAsia="宋体"/>
                <w:color w:val="auto"/>
                <w:sz w:val="21"/>
                <w:szCs w:val="21"/>
                <w:highlight w:val="none"/>
              </w:rPr>
              <w:t>36.资产负债率；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3、费用控制</w:t>
            </w:r>
          </w:p>
        </w:tc>
        <w:tc>
          <w:tcPr>
            <w:tcW w:w="5632" w:type="dxa"/>
            <w:vAlign w:val="center"/>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37.医疗收入增幅；</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38.门诊次均费用增幅；</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39.门诊次均药品费用增幅；</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40.住院次均费用增幅；</w:t>
            </w:r>
          </w:p>
          <w:p>
            <w:pPr>
              <w:jc w:val="left"/>
              <w:rPr>
                <w:rFonts w:ascii="仿宋" w:hAnsi="仿宋" w:eastAsia="仿宋"/>
                <w:color w:val="auto"/>
                <w:sz w:val="21"/>
                <w:szCs w:val="21"/>
                <w:highlight w:val="none"/>
              </w:rPr>
            </w:pPr>
            <w:r>
              <w:rPr>
                <w:rFonts w:hint="eastAsia" w:ascii="宋体" w:hAnsi="宋体" w:eastAsia="宋体"/>
                <w:color w:val="auto"/>
                <w:sz w:val="21"/>
                <w:szCs w:val="21"/>
                <w:highlight w:val="none"/>
              </w:rPr>
              <w:t>41.住院次均药品费用增幅；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4、经济管理</w:t>
            </w:r>
          </w:p>
        </w:tc>
        <w:tc>
          <w:tcPr>
            <w:tcW w:w="5632" w:type="dxa"/>
            <w:vAlign w:val="center"/>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42.全面预算管理定；</w:t>
            </w:r>
          </w:p>
          <w:p>
            <w:pPr>
              <w:jc w:val="left"/>
              <w:rPr>
                <w:rFonts w:ascii="仿宋" w:hAnsi="仿宋" w:eastAsia="仿宋"/>
                <w:color w:val="auto"/>
                <w:sz w:val="21"/>
                <w:szCs w:val="21"/>
                <w:highlight w:val="none"/>
              </w:rPr>
            </w:pPr>
            <w:r>
              <w:rPr>
                <w:rFonts w:hint="eastAsia" w:ascii="宋体" w:hAnsi="宋体" w:eastAsia="宋体"/>
                <w:color w:val="auto"/>
                <w:sz w:val="21"/>
                <w:szCs w:val="21"/>
                <w:highlight w:val="none"/>
              </w:rPr>
              <w:t>43.规范设立总会计师；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restart"/>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三</w:t>
            </w:r>
          </w:p>
        </w:tc>
        <w:tc>
          <w:tcPr>
            <w:tcW w:w="1267" w:type="dxa"/>
            <w:vMerge w:val="restart"/>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持续发展相关指标功能</w:t>
            </w: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1、人员结构</w:t>
            </w:r>
          </w:p>
        </w:tc>
        <w:tc>
          <w:tcPr>
            <w:tcW w:w="5632" w:type="dxa"/>
            <w:vAlign w:val="center"/>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44.卫生技术人员职称结构；</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45.麻醉、儿科、重症、病理、中医医师占比；</w:t>
            </w:r>
          </w:p>
          <w:p>
            <w:pPr>
              <w:jc w:val="left"/>
              <w:rPr>
                <w:rFonts w:ascii="仿宋" w:hAnsi="仿宋" w:eastAsia="仿宋"/>
                <w:color w:val="auto"/>
                <w:sz w:val="21"/>
                <w:szCs w:val="21"/>
                <w:highlight w:val="none"/>
              </w:rPr>
            </w:pPr>
            <w:r>
              <w:rPr>
                <w:rFonts w:hint="eastAsia" w:ascii="宋体" w:hAnsi="宋体" w:eastAsia="宋体"/>
                <w:color w:val="auto"/>
                <w:sz w:val="21"/>
                <w:szCs w:val="21"/>
                <w:highlight w:val="none"/>
              </w:rPr>
              <w:t>46.医护比；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2、人才培养</w:t>
            </w:r>
          </w:p>
        </w:tc>
        <w:tc>
          <w:tcPr>
            <w:tcW w:w="5632" w:type="dxa"/>
            <w:vAlign w:val="center"/>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47.医院接受其他医院（尤其是对口支援医院、医联体内医院）进修并返回原医院独立工作人数占比；</w:t>
            </w:r>
          </w:p>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48.医院住院医师首次参加医师资格考试通过率；</w:t>
            </w:r>
          </w:p>
          <w:p>
            <w:pPr>
              <w:jc w:val="left"/>
              <w:rPr>
                <w:rFonts w:ascii="宋体" w:hAnsi="宋体" w:eastAsia="仿宋"/>
                <w:color w:val="auto"/>
                <w:sz w:val="21"/>
                <w:szCs w:val="21"/>
                <w:highlight w:val="none"/>
              </w:rPr>
            </w:pPr>
            <w:r>
              <w:rPr>
                <w:rFonts w:hint="eastAsia" w:ascii="宋体" w:hAnsi="宋体" w:eastAsia="宋体"/>
                <w:color w:val="auto"/>
                <w:sz w:val="21"/>
                <w:szCs w:val="21"/>
                <w:highlight w:val="none"/>
              </w:rPr>
              <w:t>49.医院承担培养医学人才的工作成效；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4、学科建设</w:t>
            </w:r>
          </w:p>
        </w:tc>
        <w:tc>
          <w:tcPr>
            <w:tcW w:w="5632" w:type="dxa"/>
            <w:vAlign w:val="center"/>
          </w:tcPr>
          <w:p>
            <w:p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50.每百名卫生技术人员科研项目经费；</w:t>
            </w:r>
          </w:p>
          <w:p>
            <w:pPr>
              <w:jc w:val="left"/>
              <w:rPr>
                <w:rFonts w:ascii="仿宋" w:hAnsi="仿宋" w:eastAsia="仿宋"/>
                <w:color w:val="auto"/>
                <w:sz w:val="21"/>
                <w:szCs w:val="21"/>
                <w:highlight w:val="none"/>
              </w:rPr>
            </w:pPr>
            <w:r>
              <w:rPr>
                <w:rFonts w:hint="eastAsia" w:ascii="宋体" w:hAnsi="宋体" w:eastAsia="宋体"/>
                <w:color w:val="auto"/>
                <w:sz w:val="21"/>
                <w:szCs w:val="21"/>
                <w:highlight w:val="none"/>
              </w:rPr>
              <w:t>51.每百名卫生技术人员科研成果转化金额；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4、信用建设</w:t>
            </w:r>
          </w:p>
        </w:tc>
        <w:tc>
          <w:tcPr>
            <w:tcW w:w="5632"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52.公共信用综合评价等级；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restart"/>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四</w:t>
            </w:r>
          </w:p>
        </w:tc>
        <w:tc>
          <w:tcPr>
            <w:tcW w:w="1267" w:type="dxa"/>
            <w:vMerge w:val="restart"/>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满意度评价相关指标</w:t>
            </w: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1、患者满意度</w:t>
            </w:r>
          </w:p>
        </w:tc>
        <w:tc>
          <w:tcPr>
            <w:tcW w:w="5632"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53.门诊患者满意度；</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54.住院患者满意度；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before="156" w:beforeLines="50"/>
              <w:jc w:val="center"/>
              <w:rPr>
                <w:rFonts w:ascii="宋体" w:hAnsi="宋体" w:eastAsia="宋体"/>
                <w:color w:val="auto"/>
                <w:sz w:val="21"/>
                <w:szCs w:val="21"/>
                <w:highlight w:val="none"/>
              </w:rPr>
            </w:pPr>
          </w:p>
        </w:tc>
        <w:tc>
          <w:tcPr>
            <w:tcW w:w="1267" w:type="dxa"/>
            <w:vMerge w:val="continue"/>
            <w:vAlign w:val="center"/>
          </w:tcPr>
          <w:p>
            <w:pPr>
              <w:spacing w:before="156" w:beforeLines="50"/>
              <w:jc w:val="center"/>
              <w:rPr>
                <w:rFonts w:ascii="宋体" w:hAnsi="宋体" w:eastAsia="宋体"/>
                <w:color w:val="auto"/>
                <w:sz w:val="21"/>
                <w:szCs w:val="21"/>
                <w:highlight w:val="none"/>
              </w:rPr>
            </w:pPr>
          </w:p>
        </w:tc>
        <w:tc>
          <w:tcPr>
            <w:tcW w:w="1250"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2、医务人员满意度</w:t>
            </w:r>
          </w:p>
        </w:tc>
        <w:tc>
          <w:tcPr>
            <w:tcW w:w="5632"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55.医务人员满意度；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spacing w:before="156" w:beforeLines="5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c>
          <w:tcPr>
            <w:tcW w:w="8149" w:type="dxa"/>
            <w:gridSpan w:val="3"/>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注：维保期内或续保期内，如国家标准指标有变更，厂商需按照最新的国家标准指标免费对系统进行改造，不额外收取软件改造费用。 </w:t>
            </w:r>
          </w:p>
        </w:tc>
      </w:tr>
    </w:tbl>
    <w:p>
      <w:pPr>
        <w:pStyle w:val="13"/>
        <w:spacing w:after="120"/>
        <w:ind w:firstLine="420"/>
        <w:rPr>
          <w:color w:val="auto"/>
          <w:highlight w:val="none"/>
        </w:rPr>
      </w:pPr>
    </w:p>
    <w:p>
      <w:pPr>
        <w:rPr>
          <w:color w:val="auto"/>
          <w:highlight w:val="none"/>
        </w:rPr>
      </w:pPr>
    </w:p>
    <w:sectPr>
      <w:footerReference r:id="rId4" w:type="default"/>
      <w:pgSz w:w="11906" w:h="16838"/>
      <w:pgMar w:top="820" w:right="1066" w:bottom="1440" w:left="13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92540"/>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992540"/>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28992540"/>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pPr>
                      <w:pStyle w:val="2"/>
                    </w:pP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52A"/>
    <w:multiLevelType w:val="multilevel"/>
    <w:tmpl w:val="5C7E052A"/>
    <w:lvl w:ilvl="0" w:tentative="0">
      <w:start w:val="1"/>
      <w:numFmt w:val="chineseCountingThousand"/>
      <w:pStyle w:val="3"/>
      <w:lvlText w:val="%1、"/>
      <w:lvlJc w:val="left"/>
      <w:pPr>
        <w:ind w:left="425" w:hanging="425"/>
      </w:pPr>
      <w:rPr>
        <w:rFonts w:hint="eastAsia"/>
        <w:color w:val="auto"/>
      </w:rPr>
    </w:lvl>
    <w:lvl w:ilvl="1" w:tentative="0">
      <w:start w:val="1"/>
      <w:numFmt w:val="decimal"/>
      <w:pStyle w:val="4"/>
      <w:isLgl/>
      <w:lvlText w:val="%1.%2"/>
      <w:lvlJc w:val="left"/>
      <w:pPr>
        <w:ind w:left="397" w:hanging="397"/>
      </w:pPr>
      <w:rPr>
        <w:rFonts w:hint="eastAsia"/>
      </w:rPr>
    </w:lvl>
    <w:lvl w:ilvl="2" w:tentative="0">
      <w:start w:val="1"/>
      <w:numFmt w:val="chineseCountingThousand"/>
      <w:pStyle w:val="6"/>
      <w:isLgl/>
      <w:lvlText w:val="%1.%2.%3"/>
      <w:lvlJc w:val="left"/>
      <w:pPr>
        <w:tabs>
          <w:tab w:val="left" w:pos="794"/>
        </w:tabs>
        <w:ind w:left="397" w:hanging="397"/>
      </w:pPr>
      <w:rPr>
        <w:rFonts w:hint="eastAsia"/>
      </w:rPr>
    </w:lvl>
    <w:lvl w:ilvl="3" w:tentative="0">
      <w:start w:val="1"/>
      <w:numFmt w:val="decimal"/>
      <w:isLgl/>
      <w:lvlText w:val="%1.%2.%3.%4"/>
      <w:lvlJc w:val="left"/>
      <w:pPr>
        <w:ind w:left="397" w:hanging="397"/>
      </w:pPr>
      <w:rPr>
        <w:rFonts w:hint="eastAsia"/>
      </w:rPr>
    </w:lvl>
    <w:lvl w:ilvl="4" w:tentative="0">
      <w:start w:val="1"/>
      <w:numFmt w:val="decimal"/>
      <w:isLgl/>
      <w:lvlText w:val="%1.%2.%3.%4.%5"/>
      <w:lvlJc w:val="left"/>
      <w:pPr>
        <w:ind w:left="397" w:hanging="39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D515A"/>
    <w:rsid w:val="2E9B3AF5"/>
    <w:rsid w:val="4A125680"/>
    <w:rsid w:val="4F2A5ECE"/>
    <w:rsid w:val="52F65F04"/>
    <w:rsid w:val="566C4B62"/>
    <w:rsid w:val="584A53BB"/>
    <w:rsid w:val="62473A31"/>
    <w:rsid w:val="64D92AC0"/>
    <w:rsid w:val="73CB2750"/>
    <w:rsid w:val="79F26E8B"/>
    <w:rsid w:val="7CCA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numPr>
        <w:ilvl w:val="0"/>
        <w:numId w:val="1"/>
      </w:numPr>
      <w:spacing w:before="240" w:after="120"/>
      <w:jc w:val="left"/>
      <w:outlineLvl w:val="0"/>
    </w:pPr>
    <w:rPr>
      <w:rFonts w:eastAsia="黑体"/>
      <w:b/>
      <w:bCs/>
      <w:kern w:val="44"/>
      <w:sz w:val="36"/>
      <w:szCs w:val="44"/>
    </w:rPr>
  </w:style>
  <w:style w:type="paragraph" w:styleId="4">
    <w:name w:val="heading 2"/>
    <w:basedOn w:val="1"/>
    <w:next w:val="5"/>
    <w:unhideWhenUsed/>
    <w:qFormat/>
    <w:uiPriority w:val="9"/>
    <w:pPr>
      <w:keepNext/>
      <w:keepLines/>
      <w:numPr>
        <w:ilvl w:val="1"/>
        <w:numId w:val="1"/>
      </w:numPr>
      <w:spacing w:before="120" w:after="120"/>
      <w:ind w:left="0" w:firstLine="0"/>
      <w:jc w:val="left"/>
      <w:outlineLvl w:val="1"/>
    </w:pPr>
    <w:rPr>
      <w:rFonts w:ascii="Arial" w:hAnsi="Arial" w:eastAsia="黑体"/>
      <w:b/>
      <w:bCs/>
      <w:sz w:val="32"/>
      <w:szCs w:val="32"/>
    </w:rPr>
  </w:style>
  <w:style w:type="paragraph" w:styleId="6">
    <w:name w:val="heading 3"/>
    <w:basedOn w:val="1"/>
    <w:next w:val="1"/>
    <w:unhideWhenUsed/>
    <w:qFormat/>
    <w:uiPriority w:val="9"/>
    <w:pPr>
      <w:keepNext/>
      <w:keepLines/>
      <w:numPr>
        <w:ilvl w:val="2"/>
        <w:numId w:val="1"/>
      </w:numPr>
      <w:spacing w:before="20" w:after="20" w:line="240" w:lineRule="auto"/>
      <w:outlineLvl w:val="2"/>
    </w:pPr>
    <w:rPr>
      <w:rFonts w:ascii="Arial" w:hAnsi="Arial" w:eastAsia="黑体"/>
      <w:b/>
      <w:bCs/>
      <w:sz w:val="30"/>
      <w:szCs w:val="32"/>
    </w:rPr>
  </w:style>
  <w:style w:type="character" w:default="1" w:styleId="16">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b/>
      <w:bCs/>
    </w:rPr>
  </w:style>
  <w:style w:type="paragraph" w:styleId="5">
    <w:name w:val="Normal Indent"/>
    <w:basedOn w:val="1"/>
    <w:qFormat/>
    <w:uiPriority w:val="0"/>
    <w:pPr>
      <w:ind w:firstLine="200" w:firstLineChars="200"/>
    </w:pPr>
    <w:rPr>
      <w:szCs w:val="20"/>
    </w:rPr>
  </w:style>
  <w:style w:type="paragraph" w:styleId="7">
    <w:name w:val="annotation text"/>
    <w:basedOn w:val="1"/>
    <w:qFormat/>
    <w:uiPriority w:val="99"/>
    <w:pPr>
      <w:autoSpaceDE w:val="0"/>
      <w:autoSpaceDN w:val="0"/>
      <w:adjustRightInd w:val="0"/>
      <w:jc w:val="left"/>
      <w:textAlignment w:val="baseline"/>
    </w:pPr>
    <w:rPr>
      <w:rFonts w:ascii="宋体"/>
      <w:kern w:val="0"/>
      <w:sz w:val="34"/>
      <w:szCs w:val="20"/>
    </w:rPr>
  </w:style>
  <w:style w:type="paragraph" w:styleId="8">
    <w:name w:val="toc 3"/>
    <w:basedOn w:val="1"/>
    <w:next w:val="1"/>
    <w:unhideWhenUsed/>
    <w:qFormat/>
    <w:uiPriority w:val="39"/>
    <w:pPr>
      <w:widowControl/>
      <w:spacing w:line="240" w:lineRule="auto"/>
      <w:ind w:left="442"/>
      <w:jc w:val="left"/>
    </w:pPr>
    <w:rPr>
      <w:rFonts w:eastAsia="华文中宋" w:cs="Times New Roman"/>
      <w:kern w:val="0"/>
      <w:sz w:val="21"/>
      <w:szCs w:val="22"/>
    </w:rPr>
  </w:style>
  <w:style w:type="paragraph" w:styleId="9">
    <w:name w:val="Plain Text"/>
    <w:basedOn w:val="1"/>
    <w:qFormat/>
    <w:uiPriority w:val="0"/>
    <w:pPr>
      <w:ind w:firstLine="200" w:firstLineChars="200"/>
    </w:pPr>
    <w:rPr>
      <w:rFonts w:ascii="宋体" w:hAnsi="Courier New" w:eastAsia="华文中宋"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unhideWhenUsed/>
    <w:qFormat/>
    <w:uiPriority w:val="39"/>
    <w:pPr>
      <w:widowControl/>
      <w:spacing w:line="259" w:lineRule="auto"/>
      <w:jc w:val="left"/>
    </w:pPr>
    <w:rPr>
      <w:rFonts w:eastAsia="华文中宋" w:cs="Times New Roman"/>
      <w:b/>
      <w:kern w:val="0"/>
      <w:szCs w:val="22"/>
    </w:rPr>
  </w:style>
  <w:style w:type="paragraph" w:styleId="12">
    <w:name w:val="toc 2"/>
    <w:basedOn w:val="1"/>
    <w:next w:val="1"/>
    <w:unhideWhenUsed/>
    <w:qFormat/>
    <w:uiPriority w:val="39"/>
    <w:pPr>
      <w:widowControl/>
      <w:spacing w:line="259" w:lineRule="auto"/>
      <w:ind w:left="220"/>
      <w:jc w:val="left"/>
    </w:pPr>
    <w:rPr>
      <w:rFonts w:eastAsia="华文中宋" w:cs="Times New Roman"/>
      <w:kern w:val="0"/>
      <w:szCs w:val="22"/>
    </w:rPr>
  </w:style>
  <w:style w:type="paragraph" w:styleId="13">
    <w:name w:val="Normal (Web)"/>
    <w:basedOn w:val="1"/>
    <w:qFormat/>
    <w:uiPriority w:val="0"/>
  </w:style>
  <w:style w:type="table" w:styleId="15">
    <w:name w:val="Table Grid"/>
    <w:basedOn w:val="14"/>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annotation reference"/>
    <w:basedOn w:val="16"/>
    <w:qFormat/>
    <w:uiPriority w:val="99"/>
    <w:rPr>
      <w:sz w:val="21"/>
      <w:szCs w:val="21"/>
    </w:rPr>
  </w:style>
  <w:style w:type="paragraph" w:customStyle="1" w:styleId="18">
    <w:name w:val="表格文字"/>
    <w:basedOn w:val="1"/>
    <w:qFormat/>
    <w:uiPriority w:val="0"/>
    <w:pPr>
      <w:spacing w:before="25" w:after="25" w:line="240" w:lineRule="auto"/>
      <w:jc w:val="left"/>
    </w:pPr>
    <w:rPr>
      <w:rFonts w:ascii="Times New Roman" w:hAnsi="Times New Roman" w:eastAsia="宋体" w:cs="Times New Roman"/>
      <w:bCs/>
      <w:spacing w:val="10"/>
      <w:kern w:val="0"/>
      <w:sz w:val="21"/>
    </w:rPr>
  </w:style>
  <w:style w:type="paragraph" w:customStyle="1" w:styleId="19">
    <w:name w:val="_正文"/>
    <w:basedOn w:val="1"/>
    <w:qFormat/>
    <w:uiPriority w:val="0"/>
    <w:pPr>
      <w:ind w:firstLine="200" w:firstLineChars="200"/>
    </w:pPr>
    <w:rPr>
      <w:rFonts w:ascii="Times New Roman" w:hAnsi="Times New Roman" w:eastAsia="宋体" w:cs="Times New Roman"/>
      <w:kern w:val="0"/>
    </w:rPr>
  </w:style>
  <w:style w:type="paragraph" w:customStyle="1" w:styleId="20">
    <w:name w:val="p15"/>
    <w:basedOn w:val="1"/>
    <w:qFormat/>
    <w:uiPriority w:val="0"/>
    <w:pPr>
      <w:widowControl/>
      <w:ind w:firstLine="420"/>
    </w:pPr>
    <w:rPr>
      <w:rFonts w:ascii="Calibri" w:hAnsi="Calibri" w:eastAsia="宋体" w:cs="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2022-06-13T08:03:00Z</dcterms:created>
  <dc:creator>LGYY-USER</dc:creator>
  <cp:lastModifiedBy>LGYY-USER</cp:lastModifiedBy>
  <dcterms:modified xsi:type="dcterms:W3CDTF">2022-06-14T05:26:20Z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