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kinsoku/>
        <w:wordWrap/>
        <w:overflowPunct/>
        <w:topLinePunct w:val="0"/>
        <w:autoSpaceDE/>
        <w:autoSpaceDN/>
        <w:bidi w:val="0"/>
        <w:adjustRightInd/>
        <w:snapToGrid/>
        <w:spacing w:line="240" w:lineRule="auto"/>
        <w:jc w:val="center"/>
        <w:textAlignment w:val="auto"/>
        <w:rPr>
          <w:rFonts w:ascii="宋体" w:hAnsi="宋体" w:eastAsia="宋体" w:cs="微软雅黑"/>
          <w:b/>
          <w:bCs/>
          <w:kern w:val="44"/>
          <w:sz w:val="30"/>
          <w:szCs w:val="30"/>
        </w:rPr>
      </w:pPr>
      <w:bookmarkStart w:id="0" w:name="_Toc344816509"/>
      <w:r>
        <w:rPr>
          <w:rFonts w:hint="eastAsia" w:ascii="宋体" w:hAnsi="宋体" w:eastAsia="宋体" w:cs="微软雅黑"/>
          <w:b/>
          <w:bCs/>
          <w:kern w:val="44"/>
          <w:sz w:val="30"/>
          <w:szCs w:val="30"/>
        </w:rPr>
        <w:t>柳州市</w:t>
      </w:r>
      <w:r>
        <w:rPr>
          <w:rFonts w:ascii="宋体" w:hAnsi="宋体" w:eastAsia="宋体" w:cs="微软雅黑"/>
          <w:b/>
          <w:bCs/>
          <w:kern w:val="44"/>
          <w:sz w:val="30"/>
          <w:szCs w:val="30"/>
        </w:rPr>
        <w:t>工人医院</w:t>
      </w:r>
      <w:r>
        <w:rPr>
          <w:rFonts w:hint="eastAsia" w:ascii="宋体" w:hAnsi="宋体" w:eastAsia="宋体" w:cs="微软雅黑"/>
          <w:b/>
          <w:bCs/>
          <w:kern w:val="44"/>
          <w:sz w:val="30"/>
          <w:szCs w:val="30"/>
          <w:lang w:val="en-US" w:eastAsia="zh-CN"/>
        </w:rPr>
        <w:t>全区定点医疗机构医保信息接口</w:t>
      </w:r>
      <w:r>
        <w:rPr>
          <w:rFonts w:hint="eastAsia" w:ascii="宋体" w:hAnsi="宋体" w:eastAsia="宋体" w:cs="微软雅黑"/>
          <w:b/>
          <w:bCs/>
          <w:kern w:val="44"/>
          <w:sz w:val="30"/>
          <w:szCs w:val="30"/>
        </w:rPr>
        <w:t>技术参数</w:t>
      </w:r>
    </w:p>
    <w:p>
      <w:pPr>
        <w:keepNext/>
        <w:keepLines/>
        <w:pageBreakBefore w:val="0"/>
        <w:kinsoku/>
        <w:wordWrap/>
        <w:overflowPunct/>
        <w:topLinePunct w:val="0"/>
        <w:autoSpaceDE/>
        <w:autoSpaceDN/>
        <w:bidi w:val="0"/>
        <w:adjustRightInd/>
        <w:snapToGrid/>
        <w:spacing w:line="240" w:lineRule="auto"/>
        <w:ind w:left="420" w:leftChars="200"/>
        <w:jc w:val="left"/>
        <w:textAlignment w:val="auto"/>
        <w:rPr>
          <w:rFonts w:ascii="宋体" w:hAnsi="宋体" w:eastAsia="宋体" w:cs="微软雅黑"/>
          <w:b/>
          <w:bCs/>
          <w:kern w:val="44"/>
          <w:sz w:val="24"/>
          <w:szCs w:val="24"/>
        </w:rPr>
      </w:pPr>
    </w:p>
    <w:bookmarkEnd w:id="0"/>
    <w:p>
      <w:pPr>
        <w:pStyle w:val="8"/>
        <w:pageBreakBefore w:val="0"/>
        <w:numPr>
          <w:ilvl w:val="0"/>
          <w:numId w:val="1"/>
        </w:numPr>
        <w:kinsoku/>
        <w:wordWrap/>
        <w:overflowPunct/>
        <w:topLinePunct w:val="0"/>
        <w:autoSpaceDE/>
        <w:autoSpaceDN/>
        <w:bidi w:val="0"/>
        <w:adjustRightInd/>
        <w:snapToGrid/>
        <w:spacing w:line="240" w:lineRule="auto"/>
        <w:ind w:left="0" w:leftChars="0" w:firstLine="562" w:firstLineChars="200"/>
        <w:textAlignment w:val="auto"/>
        <w:rPr>
          <w:rFonts w:ascii="宋体" w:hAnsi="宋体" w:eastAsia="宋体"/>
          <w:b/>
          <w:sz w:val="28"/>
          <w:szCs w:val="28"/>
        </w:rPr>
      </w:pPr>
      <w:r>
        <w:rPr>
          <w:rFonts w:hint="eastAsia" w:ascii="宋体" w:hAnsi="宋体" w:eastAsia="宋体"/>
          <w:b/>
          <w:sz w:val="28"/>
          <w:szCs w:val="28"/>
        </w:rPr>
        <w:t>项目背景</w:t>
      </w:r>
    </w:p>
    <w:p>
      <w:pPr>
        <w:pStyle w:val="2"/>
        <w:pageBreakBefore w:val="0"/>
        <w:kinsoku/>
        <w:wordWrap/>
        <w:overflowPunct/>
        <w:topLinePunct w:val="0"/>
        <w:autoSpaceDE/>
        <w:autoSpaceDN/>
        <w:bidi w:val="0"/>
        <w:adjustRightInd/>
        <w:snapToGrid/>
        <w:spacing w:line="240" w:lineRule="auto"/>
        <w:textAlignment w:val="auto"/>
        <w:rPr>
          <w:rFonts w:hint="eastAsia"/>
          <w:sz w:val="24"/>
          <w:szCs w:val="24"/>
          <w:lang w:val="en-US" w:eastAsia="zh-CN"/>
        </w:rPr>
      </w:pPr>
      <w:r>
        <w:rPr>
          <w:rFonts w:hint="eastAsia"/>
          <w:lang w:val="en-US" w:eastAsia="zh-CN"/>
        </w:rPr>
        <w:t xml:space="preserve">  </w:t>
      </w:r>
      <w:r>
        <w:rPr>
          <w:rFonts w:hint="eastAsia"/>
          <w:sz w:val="24"/>
          <w:szCs w:val="24"/>
          <w:lang w:val="en-US" w:eastAsia="zh-CN"/>
        </w:rPr>
        <w:t xml:space="preserve">    建设全国统一的医疗保障信息平台是贯彻落实党中央、国务院关于医保工作部署的重要举措，切换上线国家医保信息平台是我市的重大民生工程和重要政治任务。我市正式切换国家医保信息平台后，柳州医保线上业务和医保信息数据将与全国实现互联互通，这对于方便参保群众医疗报销、提升我市医保信息化建设水平具有十分重要的意义。切换上线国家医保信息平台是国家和自治区医保局统一部署安排，是我市个医疗单位必须完成的一项硬指标。</w:t>
      </w:r>
    </w:p>
    <w:p>
      <w:pPr>
        <w:pageBreakBefore w:val="0"/>
        <w:kinsoku/>
        <w:wordWrap/>
        <w:overflowPunct/>
        <w:topLinePunct w:val="0"/>
        <w:autoSpaceDE/>
        <w:autoSpaceDN/>
        <w:bidi w:val="0"/>
        <w:adjustRightInd/>
        <w:snapToGrid/>
        <w:spacing w:before="56" w:line="240" w:lineRule="auto"/>
        <w:ind w:left="132" w:right="184" w:firstLine="480" w:firstLineChars="200"/>
        <w:textAlignment w:val="auto"/>
        <w:rPr>
          <w:rFonts w:hint="eastAsia" w:ascii="宋体" w:hAnsi="宋体" w:eastAsia="宋体" w:cs="宋体"/>
          <w:color w:val="auto"/>
          <w:kern w:val="0"/>
          <w:sz w:val="24"/>
          <w:szCs w:val="24"/>
          <w:lang w:val="en-US" w:eastAsia="zh-CN" w:bidi="ar-SA"/>
        </w:rPr>
      </w:pPr>
      <w:r>
        <w:rPr>
          <w:rFonts w:hint="eastAsia"/>
          <w:sz w:val="24"/>
          <w:szCs w:val="24"/>
          <w:lang w:val="en-US" w:eastAsia="zh-CN"/>
        </w:rPr>
        <w:t xml:space="preserve"> </w:t>
      </w:r>
      <w:r>
        <w:rPr>
          <w:rFonts w:hint="eastAsia" w:ascii="宋体" w:hAnsi="宋体" w:eastAsia="宋体" w:cs="宋体"/>
          <w:color w:val="auto"/>
          <w:kern w:val="0"/>
          <w:sz w:val="24"/>
          <w:szCs w:val="24"/>
          <w:lang w:val="en-US" w:eastAsia="zh-CN" w:bidi="ar-SA"/>
        </w:rPr>
        <w:t>按照广西壮族自治区医疗保障信息平台上线实施工作计划，为指导我省各省辖市、各省直管县（市）按时按质做好定点医药机构上线前接口改造及验收工作要求，新平台接口基于国家医疗保障局制定的定点医药机构接口规范，结合广西壮族自治区实际情况进行了扩展完善。各定点医药机构需按照《医疗保障信息平台定点医药机构接口规范》要求进行升级改造。</w:t>
      </w:r>
    </w:p>
    <w:p>
      <w:pPr>
        <w:pageBreakBefore w:val="0"/>
        <w:kinsoku/>
        <w:wordWrap/>
        <w:overflowPunct/>
        <w:topLinePunct w:val="0"/>
        <w:autoSpaceDE/>
        <w:autoSpaceDN/>
        <w:bidi w:val="0"/>
        <w:adjustRightInd/>
        <w:snapToGrid/>
        <w:spacing w:line="240" w:lineRule="auto"/>
        <w:textAlignment w:val="auto"/>
        <w:rPr>
          <w:rFonts w:ascii="宋体" w:hAnsi="宋体" w:eastAsia="宋体"/>
          <w:sz w:val="24"/>
          <w:szCs w:val="24"/>
        </w:rPr>
      </w:pPr>
    </w:p>
    <w:p>
      <w:pPr>
        <w:pStyle w:val="8"/>
        <w:pageBreakBefore w:val="0"/>
        <w:numPr>
          <w:ilvl w:val="0"/>
          <w:numId w:val="1"/>
        </w:numPr>
        <w:kinsoku/>
        <w:wordWrap/>
        <w:overflowPunct/>
        <w:topLinePunct w:val="0"/>
        <w:autoSpaceDE/>
        <w:autoSpaceDN/>
        <w:bidi w:val="0"/>
        <w:adjustRightInd/>
        <w:snapToGrid/>
        <w:spacing w:line="240" w:lineRule="auto"/>
        <w:ind w:left="0" w:leftChars="0" w:firstLine="562" w:firstLineChars="200"/>
        <w:textAlignment w:val="auto"/>
        <w:rPr>
          <w:rFonts w:ascii="宋体" w:hAnsi="宋体" w:eastAsia="宋体" w:cs="宋体"/>
          <w:b/>
          <w:bCs/>
          <w:color w:val="auto"/>
          <w:sz w:val="28"/>
          <w:lang w:val="en-US"/>
        </w:rPr>
      </w:pPr>
      <w:r>
        <w:rPr>
          <w:rFonts w:hint="eastAsia" w:ascii="宋体" w:hAnsi="宋体" w:eastAsia="宋体"/>
          <w:b/>
          <w:sz w:val="28"/>
          <w:szCs w:val="28"/>
        </w:rPr>
        <w:t>项目建设内容及要求</w:t>
      </w:r>
    </w:p>
    <w:tbl>
      <w:tblPr>
        <w:tblStyle w:val="5"/>
        <w:tblW w:w="8522" w:type="dxa"/>
        <w:tblInd w:w="0" w:type="dxa"/>
        <w:tblLayout w:type="fixed"/>
        <w:tblCellMar>
          <w:top w:w="0" w:type="dxa"/>
          <w:left w:w="108" w:type="dxa"/>
          <w:bottom w:w="0" w:type="dxa"/>
          <w:right w:w="108" w:type="dxa"/>
        </w:tblCellMar>
      </w:tblPr>
      <w:tblGrid>
        <w:gridCol w:w="964"/>
        <w:gridCol w:w="965"/>
        <w:gridCol w:w="1275"/>
        <w:gridCol w:w="2037"/>
        <w:gridCol w:w="1086"/>
        <w:gridCol w:w="2195"/>
      </w:tblGrid>
      <w:tr>
        <w:tblPrEx>
          <w:tblLayout w:type="fixed"/>
          <w:tblCellMar>
            <w:top w:w="0" w:type="dxa"/>
            <w:left w:w="108" w:type="dxa"/>
            <w:bottom w:w="0" w:type="dxa"/>
            <w:right w:w="108" w:type="dxa"/>
          </w:tblCellMar>
        </w:tblPrEx>
        <w:trPr>
          <w:trHeight w:val="300" w:hRule="atLeast"/>
          <w:tblHeader/>
        </w:trPr>
        <w:tc>
          <w:tcPr>
            <w:tcW w:w="964" w:type="dxa"/>
            <w:tcBorders>
              <w:top w:val="single" w:color="auto" w:sz="4" w:space="0"/>
              <w:left w:val="single" w:color="auto" w:sz="4" w:space="0"/>
              <w:bottom w:val="single" w:color="auto" w:sz="4" w:space="0"/>
              <w:right w:val="single" w:color="auto" w:sz="4" w:space="0"/>
            </w:tcBorders>
            <w:shd w:val="clear" w:color="000000" w:fill="D9D9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接口编号</w:t>
            </w:r>
          </w:p>
        </w:tc>
        <w:tc>
          <w:tcPr>
            <w:tcW w:w="965" w:type="dxa"/>
            <w:tcBorders>
              <w:top w:val="single" w:color="auto" w:sz="4" w:space="0"/>
              <w:left w:val="nil"/>
              <w:bottom w:val="single" w:color="auto" w:sz="4" w:space="0"/>
              <w:right w:val="single" w:color="auto" w:sz="4" w:space="0"/>
            </w:tcBorders>
            <w:shd w:val="clear" w:color="000000" w:fill="D9D9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一级分类</w:t>
            </w:r>
          </w:p>
        </w:tc>
        <w:tc>
          <w:tcPr>
            <w:tcW w:w="1275" w:type="dxa"/>
            <w:tcBorders>
              <w:top w:val="single" w:color="auto" w:sz="4" w:space="0"/>
              <w:left w:val="nil"/>
              <w:bottom w:val="single" w:color="auto" w:sz="4" w:space="0"/>
              <w:right w:val="single" w:color="auto" w:sz="4" w:space="0"/>
            </w:tcBorders>
            <w:shd w:val="clear" w:color="000000" w:fill="D9D9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二级分类</w:t>
            </w:r>
          </w:p>
        </w:tc>
        <w:tc>
          <w:tcPr>
            <w:tcW w:w="2037" w:type="dxa"/>
            <w:tcBorders>
              <w:top w:val="single" w:color="auto" w:sz="4" w:space="0"/>
              <w:left w:val="nil"/>
              <w:bottom w:val="single" w:color="auto" w:sz="4" w:space="0"/>
              <w:right w:val="single" w:color="auto" w:sz="4" w:space="0"/>
            </w:tcBorders>
            <w:shd w:val="clear" w:color="000000" w:fill="D9D9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接口名称</w:t>
            </w:r>
          </w:p>
        </w:tc>
        <w:tc>
          <w:tcPr>
            <w:tcW w:w="1086" w:type="dxa"/>
            <w:tcBorders>
              <w:top w:val="single" w:color="auto" w:sz="4" w:space="0"/>
              <w:left w:val="nil"/>
              <w:bottom w:val="single" w:color="auto" w:sz="4" w:space="0"/>
              <w:right w:val="single" w:color="auto" w:sz="4" w:space="0"/>
            </w:tcBorders>
            <w:shd w:val="clear" w:color="000000" w:fill="D9D9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调用方式</w:t>
            </w:r>
          </w:p>
        </w:tc>
        <w:tc>
          <w:tcPr>
            <w:tcW w:w="2195" w:type="dxa"/>
            <w:tcBorders>
              <w:top w:val="single" w:color="auto" w:sz="4" w:space="0"/>
              <w:left w:val="single" w:color="auto" w:sz="4" w:space="0"/>
              <w:bottom w:val="single" w:color="auto" w:sz="4" w:space="0"/>
              <w:right w:val="single" w:color="auto" w:sz="4" w:space="0"/>
            </w:tcBorders>
            <w:shd w:val="clear" w:color="000000" w:fill="D9D9D9"/>
            <w:vAlign w:val="center"/>
          </w:tcPr>
          <w:p>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描述</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1101</w:t>
            </w:r>
          </w:p>
        </w:tc>
        <w:tc>
          <w:tcPr>
            <w:tcW w:w="96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1-基础信息</w:t>
            </w:r>
          </w:p>
        </w:tc>
        <w:tc>
          <w:tcPr>
            <w:tcW w:w="127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1-人员信息</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人员基本信息获取</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通过此交易获取人员信息。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1201</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2-定点医药机构信息</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医药机构信息获取</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通过此交易获取医药机构基本信息。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1301</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3-目录下载</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西药中成药目录下载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1302</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中药饮片目录下载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1303</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医疗机构制剂目录下载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1304</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民族药品目录</w:t>
            </w:r>
            <w:r>
              <w:rPr>
                <w:rFonts w:hAnsi="黑体"/>
                <w:color w:val="000000" w:themeColor="text1"/>
                <w:sz w:val="18"/>
                <w:szCs w:val="18"/>
                <w14:textFill>
                  <w14:solidFill>
                    <w14:schemeClr w14:val="tx1"/>
                  </w14:solidFill>
                </w14:textFill>
              </w:rPr>
              <w:t>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1305</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医疗服务项目目录下载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1306</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医用耗材目录下载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1307</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疾病与诊断目录下载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1308</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手术操作目录下载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1309</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门诊慢特病种目录下载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1310</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按病种付费病种目录下载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1311</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日间手术治疗病种目录下载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1312</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医保目录信息</w:t>
            </w:r>
            <w:r>
              <w:rPr>
                <w:rFonts w:hAnsi="黑体"/>
                <w:color w:val="000000" w:themeColor="text1"/>
                <w:sz w:val="18"/>
                <w:szCs w:val="18"/>
                <w14:textFill>
                  <w14:solidFill>
                    <w14:schemeClr w14:val="tx1"/>
                  </w14:solidFill>
                </w14:textFill>
              </w:rPr>
              <w:t>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1313</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肿瘤形态学目录下载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1314</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中医疾病目录下载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1315</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中医证候目录下载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根据本地最大版本号信息获取大于本地版本的目录信息。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1316</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医疗目录与医保目录匹配信息</w:t>
            </w:r>
            <w:r>
              <w:rPr>
                <w:rFonts w:hAnsi="黑体"/>
                <w:color w:val="000000" w:themeColor="text1"/>
                <w:sz w:val="18"/>
                <w:szCs w:val="18"/>
                <w14:textFill>
                  <w14:solidFill>
                    <w14:schemeClr w14:val="tx1"/>
                  </w14:solidFill>
                </w14:textFill>
              </w:rPr>
              <w:t>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w:t>
            </w:r>
            <w:r>
              <w:rPr>
                <w:rFonts w:hAnsi="黑体"/>
                <w:color w:val="000000" w:themeColor="text1"/>
                <w:sz w:val="18"/>
                <w:szCs w:val="18"/>
                <w14:textFill>
                  <w14:solidFill>
                    <w14:schemeClr w14:val="tx1"/>
                  </w14:solidFill>
                </w14:textFill>
              </w:rPr>
              <w:t>查询</w:t>
            </w:r>
            <w:r>
              <w:rPr>
                <w:rFonts w:hint="eastAsia" w:hAnsi="黑体"/>
                <w:color w:val="000000" w:themeColor="text1"/>
                <w:sz w:val="18"/>
                <w:szCs w:val="18"/>
                <w14:textFill>
                  <w14:solidFill>
                    <w14:schemeClr w14:val="tx1"/>
                  </w14:solidFill>
                </w14:textFill>
              </w:rPr>
              <w:t>医疗目录与医保目录匹配信息。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1317</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医药机构目录匹配信息</w:t>
            </w:r>
            <w:r>
              <w:rPr>
                <w:rFonts w:hAnsi="黑体"/>
                <w:color w:val="000000" w:themeColor="text1"/>
                <w:sz w:val="18"/>
                <w:szCs w:val="18"/>
                <w14:textFill>
                  <w14:solidFill>
                    <w14:schemeClr w14:val="tx1"/>
                  </w14:solidFill>
                </w14:textFill>
              </w:rPr>
              <w:t>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w:t>
            </w:r>
            <w:r>
              <w:rPr>
                <w:rFonts w:hAnsi="黑体"/>
                <w:color w:val="000000" w:themeColor="text1"/>
                <w:sz w:val="18"/>
                <w:szCs w:val="18"/>
                <w14:textFill>
                  <w14:solidFill>
                    <w14:schemeClr w14:val="tx1"/>
                  </w14:solidFill>
                </w14:textFill>
              </w:rPr>
              <w:t>查询</w:t>
            </w:r>
            <w:r>
              <w:rPr>
                <w:rFonts w:hint="eastAsia" w:hAnsi="黑体"/>
                <w:color w:val="000000" w:themeColor="text1"/>
                <w:sz w:val="18"/>
                <w:szCs w:val="18"/>
                <w14:textFill>
                  <w14:solidFill>
                    <w14:schemeClr w14:val="tx1"/>
                  </w14:solidFill>
                </w14:textFill>
              </w:rPr>
              <w:t>医药机构目录匹配信息。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1318</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医保目录限价信息</w:t>
            </w:r>
            <w:r>
              <w:rPr>
                <w:rFonts w:hAnsi="黑体"/>
                <w:color w:val="000000" w:themeColor="text1"/>
                <w:sz w:val="18"/>
                <w:szCs w:val="18"/>
                <w14:textFill>
                  <w14:solidFill>
                    <w14:schemeClr w14:val="tx1"/>
                  </w14:solidFill>
                </w14:textFill>
              </w:rPr>
              <w:t>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w:t>
            </w:r>
            <w:r>
              <w:rPr>
                <w:rFonts w:hAnsi="黑体"/>
                <w:color w:val="000000" w:themeColor="text1"/>
                <w:sz w:val="18"/>
                <w:szCs w:val="18"/>
                <w14:textFill>
                  <w14:solidFill>
                    <w14:schemeClr w14:val="tx1"/>
                  </w14:solidFill>
                </w14:textFill>
              </w:rPr>
              <w:t>查询</w:t>
            </w:r>
            <w:r>
              <w:rPr>
                <w:rFonts w:hint="eastAsia" w:hAnsi="黑体"/>
                <w:color w:val="000000" w:themeColor="text1"/>
                <w:sz w:val="18"/>
                <w:szCs w:val="18"/>
                <w14:textFill>
                  <w14:solidFill>
                    <w14:schemeClr w14:val="tx1"/>
                  </w14:solidFill>
                </w14:textFill>
              </w:rPr>
              <w:t>医保目录限价信息。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1319</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医保目录先自付比例信息</w:t>
            </w:r>
            <w:r>
              <w:rPr>
                <w:rFonts w:hAnsi="黑体"/>
                <w:color w:val="000000" w:themeColor="text1"/>
                <w:sz w:val="18"/>
                <w:szCs w:val="18"/>
                <w14:textFill>
                  <w14:solidFill>
                    <w14:schemeClr w14:val="tx1"/>
                  </w14:solidFill>
                </w14:textFill>
              </w:rPr>
              <w:t>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w:t>
            </w:r>
            <w:r>
              <w:rPr>
                <w:rFonts w:hAnsi="黑体"/>
                <w:color w:val="000000" w:themeColor="text1"/>
                <w:sz w:val="18"/>
                <w:szCs w:val="18"/>
                <w14:textFill>
                  <w14:solidFill>
                    <w14:schemeClr w14:val="tx1"/>
                  </w14:solidFill>
                </w14:textFill>
              </w:rPr>
              <w:t>查询</w:t>
            </w:r>
            <w:r>
              <w:rPr>
                <w:rFonts w:hint="eastAsia" w:hAnsi="黑体"/>
                <w:color w:val="000000" w:themeColor="text1"/>
                <w:sz w:val="18"/>
                <w:szCs w:val="18"/>
                <w14:textFill>
                  <w14:solidFill>
                    <w14:schemeClr w14:val="tx1"/>
                  </w14:solidFill>
                </w14:textFill>
              </w:rPr>
              <w:t>医保目录先自付比例信息。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1901</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9-其他信息</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字典表</w:t>
            </w:r>
            <w:r>
              <w:rPr>
                <w:rFonts w:hAnsi="黑体"/>
                <w:color w:val="000000" w:themeColor="text1"/>
                <w:sz w:val="18"/>
                <w:szCs w:val="18"/>
                <w14:textFill>
                  <w14:solidFill>
                    <w14:schemeClr w14:val="tx1"/>
                  </w14:solidFill>
                </w14:textFill>
              </w:rPr>
              <w:t>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w:t>
            </w:r>
            <w:r>
              <w:rPr>
                <w:rFonts w:hAnsi="黑体"/>
                <w:color w:val="000000" w:themeColor="text1"/>
                <w:sz w:val="18"/>
                <w:szCs w:val="18"/>
                <w14:textFill>
                  <w14:solidFill>
                    <w14:schemeClr w14:val="tx1"/>
                  </w14:solidFill>
                </w14:textFill>
              </w:rPr>
              <w:t>查询</w:t>
            </w:r>
            <w:r>
              <w:rPr>
                <w:rFonts w:hint="eastAsia" w:hAnsi="黑体"/>
                <w:color w:val="000000" w:themeColor="text1"/>
                <w:sz w:val="18"/>
                <w:szCs w:val="18"/>
                <w14:textFill>
                  <w14:solidFill>
                    <w14:schemeClr w14:val="tx1"/>
                  </w14:solidFill>
                </w14:textFill>
              </w:rPr>
              <w:t>字典表。</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2001</w:t>
            </w:r>
          </w:p>
        </w:tc>
        <w:tc>
          <w:tcPr>
            <w:tcW w:w="965" w:type="dxa"/>
            <w:vMerge w:val="restart"/>
            <w:tcBorders>
              <w:top w:val="nil"/>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2-医保服务</w:t>
            </w:r>
          </w:p>
        </w:tc>
        <w:tc>
          <w:tcPr>
            <w:tcW w:w="127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0-待遇检查</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人员待遇享受检查</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通过此交易检查人员的待遇享受情况，返回待遇信息。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2101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1-药店结算</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药店预结算</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通过此交易进行药店购药，药店门诊慢特病购药的预结算。</w:t>
            </w:r>
          </w:p>
        </w:tc>
      </w:tr>
      <w:tr>
        <w:tblPrEx>
          <w:tblLayout w:type="fixed"/>
          <w:tblCellMar>
            <w:top w:w="0" w:type="dxa"/>
            <w:left w:w="108" w:type="dxa"/>
            <w:bottom w:w="0" w:type="dxa"/>
            <w:right w:w="108" w:type="dxa"/>
          </w:tblCellMar>
        </w:tblPrEx>
        <w:trPr>
          <w:trHeight w:val="58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2101</w:t>
            </w:r>
            <w:r>
              <w:rPr>
                <w:rFonts w:hint="eastAsia" w:hAnsi="黑体"/>
                <w:color w:val="000000" w:themeColor="text1"/>
                <w:sz w:val="18"/>
                <w:szCs w:val="18"/>
                <w:lang w:eastAsia="zh-Hans"/>
                <w14:textFill>
                  <w14:solidFill>
                    <w14:schemeClr w14:val="tx1"/>
                  </w14:solidFill>
                </w14:textFill>
              </w:rPr>
              <w:t>A</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药店预结算A</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通过此交易进行药店购药，药店门诊慢特病购药的预结算。</w:t>
            </w:r>
          </w:p>
        </w:tc>
      </w:tr>
      <w:tr>
        <w:tblPrEx>
          <w:tblLayout w:type="fixed"/>
          <w:tblCellMar>
            <w:top w:w="0" w:type="dxa"/>
            <w:left w:w="108" w:type="dxa"/>
            <w:bottom w:w="0" w:type="dxa"/>
            <w:right w:w="108" w:type="dxa"/>
          </w:tblCellMar>
        </w:tblPrEx>
        <w:trPr>
          <w:trHeight w:val="58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2102</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药店结算</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通过此交易进行药店购药，药店门诊慢特病购药的结算（含费用明细上传）。</w:t>
            </w:r>
          </w:p>
        </w:tc>
      </w:tr>
      <w:tr>
        <w:tblPrEx>
          <w:tblLayout w:type="fixed"/>
          <w:tblCellMar>
            <w:top w:w="0" w:type="dxa"/>
            <w:left w:w="108" w:type="dxa"/>
            <w:bottom w:w="0" w:type="dxa"/>
            <w:right w:w="108" w:type="dxa"/>
          </w:tblCellMar>
        </w:tblPrEx>
        <w:trPr>
          <w:trHeight w:val="58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2102</w:t>
            </w:r>
            <w:r>
              <w:rPr>
                <w:rFonts w:hint="eastAsia" w:hAnsi="黑体"/>
                <w:color w:val="000000" w:themeColor="text1"/>
                <w:sz w:val="18"/>
                <w:szCs w:val="18"/>
                <w:lang w:eastAsia="zh-Hans"/>
                <w14:textFill>
                  <w14:solidFill>
                    <w14:schemeClr w14:val="tx1"/>
                  </w14:solidFill>
                </w14:textFill>
              </w:rPr>
              <w:t>A</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药店结算A</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通过此交易进行药店购药，药店门诊慢特病购药的结算（含费用明细上传）。</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2103</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药店结算撤销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通过此交易撤销药店结算（含费用明细撤销）。</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2201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2-门急诊结算</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门诊挂号</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通过此交易进行门诊挂号。</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2202</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门诊挂号撤销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通过此交易进行门诊挂号的撤销。</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2203</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门诊就诊信息上传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通过此交易上传门诊就诊及诊断信息。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2203A</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门诊就诊信息上传A</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通过此交易上传门诊就诊及诊断信息。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2204</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门诊费用明细信息上传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通过此交易上传门诊费用明细信息。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2205</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门诊费用明细信息撤销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通过此交易撤销门诊费用明细信息。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2206</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门诊预结算</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通过此交易进行门诊结算的预结算。</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2207</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门诊结算</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通过此交易进行门诊结算的正式结算。</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2208</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门诊结算撤销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通过此交易撤销门诊结算。</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2301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3-住院结算</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住院费用明细上传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通过此交易上传住院费用明细信息。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2302</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住院费用明细撤销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通过此交易撤销住院费用明细信息。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2303</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住院预结算</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通过此交易进行住院结算的预结算。</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2304</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住院结算</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通过此交易进行住院结算的正式结算。</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2305</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住院结算撤销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通过此交易撤销住院结算。</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2401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4-住院办理</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入院办理</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通过此交易进行入院登记办理。</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2402</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出院办理</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通过此交易进出院办理。</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2403</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入院信息变更</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通过此交易进行入院信息变更。</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2404</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入院撤销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通过此交易进行入院撤销。</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2405</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出院撤销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通过此交易进出院撤销。</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2501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5-人员备案</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转院备案</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通过此交易上传转院备案信息。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2501A</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转院备案</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通过此交易上传转院备案信息。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2502</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转院备案撤销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通过此交易撤销上传的转院备案信息。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2503</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人员慢特病备案</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通过此交易上传人员慢特病备案信息。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2504</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人员慢特病备案撤销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通过此交易撤销医保局还未处理的人员慢特病备案信息。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2505</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人员定点备案</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通过此交易上传人员定点备案信息。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2506</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人员定点备案撤销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通过此交易撤销医保局还未审核的人员定点备案信息。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2601</w:t>
            </w:r>
          </w:p>
        </w:tc>
        <w:tc>
          <w:tcPr>
            <w:tcW w:w="965" w:type="dxa"/>
            <w:vMerge w:val="continue"/>
            <w:tcBorders>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6-事务补偿业务</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冲正交易</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定点医药机构发起某项交易时，因网络中断或超时等原因导致无法获取接收方状态，导致多方数据不一致或已确认接收方数据多时，可通过冲正取消接收方相应数据，保持双方数据一致。</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3101</w:t>
            </w:r>
          </w:p>
        </w:tc>
        <w:tc>
          <w:tcPr>
            <w:tcW w:w="965"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3-医药机构管理</w:t>
            </w:r>
          </w:p>
        </w:tc>
        <w:tc>
          <w:tcPr>
            <w:tcW w:w="1275" w:type="dxa"/>
            <w:vMerge w:val="restart"/>
            <w:tcBorders>
              <w:top w:val="nil"/>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1-明细审核</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明细审核</w:t>
            </w:r>
            <w:r>
              <w:rPr>
                <w:rFonts w:hAnsi="黑体"/>
                <w:color w:val="000000" w:themeColor="text1"/>
                <w:sz w:val="18"/>
                <w:szCs w:val="18"/>
                <w14:textFill>
                  <w14:solidFill>
                    <w14:schemeClr w14:val="tx1"/>
                  </w14:solidFill>
                </w14:textFill>
              </w:rPr>
              <w:t>事前</w:t>
            </w:r>
            <w:r>
              <w:rPr>
                <w:rFonts w:hint="eastAsia" w:hAnsi="黑体"/>
                <w:color w:val="000000" w:themeColor="text1"/>
                <w:sz w:val="18"/>
                <w:szCs w:val="18"/>
                <w14:textFill>
                  <w14:solidFill>
                    <w14:schemeClr w14:val="tx1"/>
                  </w14:solidFill>
                </w14:textFill>
              </w:rPr>
              <w:t>分析服务</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通过此交易进行事前的明细审核分析。</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Ansi="黑体"/>
                <w:color w:val="000000" w:themeColor="text1"/>
                <w:sz w:val="18"/>
                <w:szCs w:val="18"/>
                <w14:textFill>
                  <w14:solidFill>
                    <w14:schemeClr w14:val="tx1"/>
                  </w14:solidFill>
                </w14:textFill>
              </w:rPr>
              <w:t>3102</w:t>
            </w:r>
          </w:p>
        </w:tc>
        <w:tc>
          <w:tcPr>
            <w:tcW w:w="96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明细审核</w:t>
            </w:r>
            <w:r>
              <w:rPr>
                <w:rFonts w:hAnsi="黑体"/>
                <w:color w:val="000000" w:themeColor="text1"/>
                <w:sz w:val="18"/>
                <w:szCs w:val="18"/>
                <w14:textFill>
                  <w14:solidFill>
                    <w14:schemeClr w14:val="tx1"/>
                  </w14:solidFill>
                </w14:textFill>
              </w:rPr>
              <w:t>事中</w:t>
            </w:r>
            <w:r>
              <w:rPr>
                <w:rFonts w:hint="eastAsia" w:hAnsi="黑体"/>
                <w:color w:val="000000" w:themeColor="text1"/>
                <w:sz w:val="18"/>
                <w:szCs w:val="18"/>
                <w14:textFill>
                  <w14:solidFill>
                    <w14:schemeClr w14:val="tx1"/>
                  </w14:solidFill>
                </w14:textFill>
              </w:rPr>
              <w:t>分析服务</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通过此交易进行事中的明细审核分析。</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3201</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2-医药机构费用结算业务</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医药机构费用结算对总账</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对通过此交易进行医药机构费用结算对总账。</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3202</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医药机构费用结算对明细账</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通过此交易，在医药机构费用结算总账不平时，进行对明细账。</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3301</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3-目录对照</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目录对照上传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通过此交易上传目录对照信息。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3302</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目录对照撤销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通过此交易删除上传的目录对照信息。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3401</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4-科室管理</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科室信息上传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通过此交易上传科室信息。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3401A</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批量科室信息上传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通过此交易批量上传科室信息。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3402</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科室信息变更</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通过此交易变更科室信息。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3403</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科室信息撤销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通过此交易撤销科室信息。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3501</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5-进销存管理</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商品盘存上传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通过此交易上传商品盘存信息。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3502</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商品库存变更</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通过此交易上传商品的库存变化。</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3503</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商品采购</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通过此交易上传商品采购信息。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3504</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商品采购退货</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通过此交易上传商品采购退货信息。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3505</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商品销售</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通过此交易上传商品销售信息。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3506</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商品销售退货</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通过此交易上传商品销售退货信息。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3507</w:t>
            </w:r>
          </w:p>
        </w:tc>
        <w:tc>
          <w:tcPr>
            <w:tcW w:w="965"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商品信息删除</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通过此交易删除某一批次商品信息。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4101</w:t>
            </w:r>
          </w:p>
        </w:tc>
        <w:tc>
          <w:tcPr>
            <w:tcW w:w="965" w:type="dxa"/>
            <w:vMerge w:val="restart"/>
            <w:tcBorders>
              <w:top w:val="nil"/>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4-信息采集上传</w:t>
            </w:r>
          </w:p>
        </w:tc>
        <w:tc>
          <w:tcPr>
            <w:tcW w:w="127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1-医疗保障基金结算清单</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医疗保障基金结算清单信息上传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通过此交易上传医疗保障基金结算清单信息。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hAnsi="黑体" w:eastAsia="宋体"/>
                <w:color w:val="000000" w:themeColor="text1"/>
                <w:sz w:val="18"/>
                <w:szCs w:val="18"/>
                <w:lang w:val="en-US" w:eastAsia="zh-CN"/>
                <w14:textFill>
                  <w14:solidFill>
                    <w14:schemeClr w14:val="tx1"/>
                  </w14:solidFill>
                </w14:textFill>
              </w:rPr>
            </w:pPr>
            <w:r>
              <w:rPr>
                <w:rFonts w:hint="eastAsia" w:hAnsi="黑体"/>
                <w:color w:val="000000" w:themeColor="text1"/>
                <w:sz w:val="18"/>
                <w:szCs w:val="18"/>
                <w14:textFill>
                  <w14:solidFill>
                    <w14:schemeClr w14:val="tx1"/>
                  </w14:solidFill>
                </w14:textFill>
              </w:rPr>
              <w:t>4101</w:t>
            </w:r>
            <w:r>
              <w:rPr>
                <w:rFonts w:hint="eastAsia" w:hAnsi="黑体"/>
                <w:color w:val="000000" w:themeColor="text1"/>
                <w:sz w:val="18"/>
                <w:szCs w:val="18"/>
                <w:lang w:val="en-US" w:eastAsia="zh-CN"/>
                <w14:textFill>
                  <w14:solidFill>
                    <w14:schemeClr w14:val="tx1"/>
                  </w14:solidFill>
                </w14:textFill>
              </w:rPr>
              <w:t>a</w:t>
            </w:r>
          </w:p>
        </w:tc>
        <w:tc>
          <w:tcPr>
            <w:tcW w:w="96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int="eastAsia" w:hAnsi="黑体"/>
                <w:color w:val="000000" w:themeColor="text1"/>
                <w:sz w:val="18"/>
                <w:szCs w:val="18"/>
                <w14:textFill>
                  <w14:solidFill>
                    <w14:schemeClr w14:val="tx1"/>
                  </w14:solidFill>
                </w14:textFill>
              </w:rPr>
            </w:pPr>
          </w:p>
        </w:tc>
        <w:tc>
          <w:tcPr>
            <w:tcW w:w="127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hAnsi="黑体"/>
                <w:color w:val="000000" w:themeColor="text1"/>
                <w:sz w:val="18"/>
                <w:szCs w:val="18"/>
                <w14:textFill>
                  <w14:solidFill>
                    <w14:schemeClr w14:val="tx1"/>
                  </w14:solidFill>
                </w14:textFill>
              </w:rPr>
            </w:pPr>
            <w:r>
              <w:rPr>
                <w:rFonts w:hint="eastAsia" w:hAnsi="黑体"/>
                <w:color w:val="000000" w:themeColor="text1"/>
                <w:sz w:val="18"/>
                <w:szCs w:val="18"/>
                <w:lang w:val="en-US" w:eastAsia="zh-CN"/>
                <w14:textFill>
                  <w14:solidFill>
                    <w14:schemeClr w14:val="tx1"/>
                  </w14:solidFill>
                </w14:textFill>
              </w:rPr>
              <w:t>1-</w:t>
            </w:r>
            <w:r>
              <w:rPr>
                <w:rFonts w:hint="eastAsia" w:hAnsi="黑体"/>
                <w:color w:val="000000" w:themeColor="text1"/>
                <w:sz w:val="18"/>
                <w:szCs w:val="18"/>
                <w14:textFill>
                  <w14:solidFill>
                    <w14:schemeClr w14:val="tx1"/>
                  </w14:solidFill>
                </w14:textFill>
              </w:rPr>
              <w:t>医疗保障基金结算清单</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医疗保障基金结算清单信息上传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hAnsi="黑体" w:eastAsia="宋体"/>
                <w:color w:val="000000" w:themeColor="text1"/>
                <w:sz w:val="18"/>
                <w:szCs w:val="18"/>
                <w:lang w:val="en-US" w:eastAsia="zh-CN"/>
                <w14:textFill>
                  <w14:solidFill>
                    <w14:schemeClr w14:val="tx1"/>
                  </w14:solidFill>
                </w14:textFill>
              </w:rPr>
            </w:pPr>
            <w:r>
              <w:rPr>
                <w:rFonts w:hint="eastAsia" w:hAnsi="黑体"/>
                <w:color w:val="000000" w:themeColor="text1"/>
                <w:sz w:val="18"/>
                <w:szCs w:val="18"/>
                <w:lang w:val="en-US" w:eastAsia="zh-CN"/>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int="default" w:hAnsi="黑体" w:eastAsia="宋体"/>
                <w:color w:val="000000" w:themeColor="text1"/>
                <w:sz w:val="18"/>
                <w:szCs w:val="18"/>
                <w:lang w:val="en-US" w:eastAsia="zh-CN"/>
                <w14:textFill>
                  <w14:solidFill>
                    <w14:schemeClr w14:val="tx1"/>
                  </w14:solidFill>
                </w14:textFill>
              </w:rPr>
            </w:pPr>
            <w:r>
              <w:rPr>
                <w:rFonts w:hint="eastAsia" w:hAnsi="黑体"/>
                <w:color w:val="000000" w:themeColor="text1"/>
                <w:sz w:val="18"/>
                <w:szCs w:val="18"/>
                <w:lang w:val="en-US" w:eastAsia="zh-CN"/>
                <w14:textFill>
                  <w14:solidFill>
                    <w14:schemeClr w14:val="tx1"/>
                  </w14:solidFill>
                </w14:textFill>
              </w:rPr>
              <w:t>通过此交易上传医疗保障基金结算清单信息。代替4101接口</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hAnsi="黑体" w:eastAsia="宋体"/>
                <w:color w:val="000000" w:themeColor="text1"/>
                <w:sz w:val="18"/>
                <w:szCs w:val="18"/>
                <w:lang w:val="en-US" w:eastAsia="zh-CN"/>
                <w14:textFill>
                  <w14:solidFill>
                    <w14:schemeClr w14:val="tx1"/>
                  </w14:solidFill>
                </w14:textFill>
              </w:rPr>
            </w:pPr>
            <w:r>
              <w:rPr>
                <w:rFonts w:hint="eastAsia" w:hAnsi="黑体"/>
                <w:color w:val="000000" w:themeColor="text1"/>
                <w:sz w:val="18"/>
                <w:szCs w:val="18"/>
                <w14:textFill>
                  <w14:solidFill>
                    <w14:schemeClr w14:val="tx1"/>
                  </w14:solidFill>
                </w14:textFill>
              </w:rPr>
              <w:t>410</w:t>
            </w:r>
            <w:r>
              <w:rPr>
                <w:rFonts w:hint="eastAsia" w:hAnsi="黑体"/>
                <w:color w:val="000000" w:themeColor="text1"/>
                <w:sz w:val="18"/>
                <w:szCs w:val="18"/>
                <w:lang w:val="en-US" w:eastAsia="zh-CN"/>
                <w14:textFill>
                  <w14:solidFill>
                    <w14:schemeClr w14:val="tx1"/>
                  </w14:solidFill>
                </w14:textFill>
              </w:rPr>
              <w:t>2</w:t>
            </w:r>
          </w:p>
        </w:tc>
        <w:tc>
          <w:tcPr>
            <w:tcW w:w="96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int="eastAsia" w:hAnsi="黑体"/>
                <w:color w:val="000000" w:themeColor="text1"/>
                <w:sz w:val="18"/>
                <w:szCs w:val="18"/>
                <w14:textFill>
                  <w14:solidFill>
                    <w14:schemeClr w14:val="tx1"/>
                  </w14:solidFill>
                </w14:textFill>
              </w:rPr>
            </w:pPr>
          </w:p>
        </w:tc>
        <w:tc>
          <w:tcPr>
            <w:tcW w:w="127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default" w:hAnsi="黑体" w:eastAsia="宋体"/>
                <w:color w:val="000000" w:themeColor="text1"/>
                <w:sz w:val="18"/>
                <w:szCs w:val="18"/>
                <w:lang w:val="en-US" w:eastAsia="zh-CN"/>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default" w:hAnsi="黑体" w:eastAsia="宋体"/>
                <w:color w:val="000000" w:themeColor="text1"/>
                <w:sz w:val="18"/>
                <w:szCs w:val="18"/>
                <w:lang w:val="en-US" w:eastAsia="zh-CN"/>
                <w14:textFill>
                  <w14:solidFill>
                    <w14:schemeClr w14:val="tx1"/>
                  </w14:solidFill>
                </w14:textFill>
              </w:rPr>
            </w:pPr>
            <w:r>
              <w:rPr>
                <w:rFonts w:hint="eastAsia" w:hAnsi="黑体"/>
                <w:color w:val="000000" w:themeColor="text1"/>
                <w:sz w:val="18"/>
                <w:szCs w:val="18"/>
                <w:lang w:val="en-US" w:eastAsia="zh-CN"/>
                <w14:textFill>
                  <w14:solidFill>
                    <w14:schemeClr w14:val="tx1"/>
                  </w14:solidFill>
                </w14:textFill>
              </w:rPr>
              <w:t>医疗保障基金结算清单状态修改</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hAnsi="黑体" w:eastAsia="宋体"/>
                <w:color w:val="000000" w:themeColor="text1"/>
                <w:sz w:val="18"/>
                <w:szCs w:val="18"/>
                <w:lang w:val="en-US" w:eastAsia="zh-CN"/>
                <w14:textFill>
                  <w14:solidFill>
                    <w14:schemeClr w14:val="tx1"/>
                  </w14:solidFill>
                </w14:textFill>
              </w:rPr>
            </w:pPr>
            <w:r>
              <w:rPr>
                <w:rFonts w:hint="eastAsia" w:hAnsi="黑体"/>
                <w:color w:val="000000" w:themeColor="text1"/>
                <w:sz w:val="18"/>
                <w:szCs w:val="18"/>
                <w:lang w:val="en-US" w:eastAsia="zh-CN"/>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int="default" w:hAnsi="黑体" w:eastAsia="宋体"/>
                <w:color w:val="000000" w:themeColor="text1"/>
                <w:sz w:val="18"/>
                <w:szCs w:val="18"/>
                <w:lang w:val="en-US" w:eastAsia="zh-CN"/>
                <w14:textFill>
                  <w14:solidFill>
                    <w14:schemeClr w14:val="tx1"/>
                  </w14:solidFill>
                </w14:textFill>
              </w:rPr>
            </w:pPr>
            <w:r>
              <w:rPr>
                <w:rFonts w:hint="eastAsia" w:hAnsi="黑体"/>
                <w:color w:val="000000" w:themeColor="text1"/>
                <w:sz w:val="18"/>
                <w:szCs w:val="18"/>
                <w:lang w:val="en-US" w:eastAsia="zh-CN"/>
                <w14:textFill>
                  <w14:solidFill>
                    <w14:schemeClr w14:val="tx1"/>
                  </w14:solidFill>
                </w14:textFill>
              </w:rPr>
              <w:t>通过此交易撤回提交的医疗保障基金结算清单</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hAnsi="黑体" w:eastAsia="宋体"/>
                <w:color w:val="000000" w:themeColor="text1"/>
                <w:sz w:val="18"/>
                <w:szCs w:val="18"/>
                <w:lang w:val="en-US" w:eastAsia="zh-CN"/>
                <w14:textFill>
                  <w14:solidFill>
                    <w14:schemeClr w14:val="tx1"/>
                  </w14:solidFill>
                </w14:textFill>
              </w:rPr>
            </w:pPr>
            <w:r>
              <w:rPr>
                <w:rFonts w:hint="eastAsia" w:hAnsi="黑体"/>
                <w:color w:val="000000" w:themeColor="text1"/>
                <w:sz w:val="18"/>
                <w:szCs w:val="18"/>
                <w14:textFill>
                  <w14:solidFill>
                    <w14:schemeClr w14:val="tx1"/>
                  </w14:solidFill>
                </w14:textFill>
              </w:rPr>
              <w:t>410</w:t>
            </w:r>
            <w:r>
              <w:rPr>
                <w:rFonts w:hint="eastAsia" w:hAnsi="黑体"/>
                <w:color w:val="000000" w:themeColor="text1"/>
                <w:sz w:val="18"/>
                <w:szCs w:val="18"/>
                <w:lang w:val="en-US" w:eastAsia="zh-CN"/>
                <w14:textFill>
                  <w14:solidFill>
                    <w14:schemeClr w14:val="tx1"/>
                  </w14:solidFill>
                </w14:textFill>
              </w:rPr>
              <w:t>3</w:t>
            </w:r>
          </w:p>
        </w:tc>
        <w:tc>
          <w:tcPr>
            <w:tcW w:w="96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int="eastAsia" w:hAnsi="黑体"/>
                <w:color w:val="000000" w:themeColor="text1"/>
                <w:sz w:val="18"/>
                <w:szCs w:val="18"/>
                <w14:textFill>
                  <w14:solidFill>
                    <w14:schemeClr w14:val="tx1"/>
                  </w14:solidFill>
                </w14:textFill>
              </w:rPr>
            </w:pPr>
          </w:p>
        </w:tc>
        <w:tc>
          <w:tcPr>
            <w:tcW w:w="127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eastAsia"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int="default" w:hAnsi="黑体" w:eastAsia="宋体"/>
                <w:color w:val="000000" w:themeColor="text1"/>
                <w:sz w:val="18"/>
                <w:szCs w:val="18"/>
                <w:lang w:val="en-US" w:eastAsia="zh-CN"/>
                <w14:textFill>
                  <w14:solidFill>
                    <w14:schemeClr w14:val="tx1"/>
                  </w14:solidFill>
                </w14:textFill>
              </w:rPr>
            </w:pPr>
            <w:r>
              <w:rPr>
                <w:rFonts w:hint="eastAsia" w:hAnsi="黑体"/>
                <w:color w:val="000000" w:themeColor="text1"/>
                <w:sz w:val="18"/>
                <w:szCs w:val="18"/>
                <w:lang w:val="en-US" w:eastAsia="zh-CN"/>
                <w14:textFill>
                  <w14:solidFill>
                    <w14:schemeClr w14:val="tx1"/>
                  </w14:solidFill>
                </w14:textFill>
              </w:rPr>
              <w:t>医疗保障基金结算清单详细信息查询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eastAsia" w:hAnsi="黑体" w:eastAsia="宋体"/>
                <w:color w:val="000000" w:themeColor="text1"/>
                <w:sz w:val="18"/>
                <w:szCs w:val="18"/>
                <w:lang w:val="en-US" w:eastAsia="zh-CN"/>
                <w14:textFill>
                  <w14:solidFill>
                    <w14:schemeClr w14:val="tx1"/>
                  </w14:solidFill>
                </w14:textFill>
              </w:rPr>
            </w:pPr>
            <w:r>
              <w:rPr>
                <w:rFonts w:hint="eastAsia" w:hAnsi="黑体"/>
                <w:color w:val="000000" w:themeColor="text1"/>
                <w:sz w:val="18"/>
                <w:szCs w:val="18"/>
                <w:lang w:val="en-US" w:eastAsia="zh-CN"/>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int="default" w:hAnsi="黑体" w:eastAsia="宋体"/>
                <w:color w:val="000000" w:themeColor="text1"/>
                <w:sz w:val="18"/>
                <w:szCs w:val="18"/>
                <w:lang w:val="en-US" w:eastAsia="zh-CN"/>
                <w14:textFill>
                  <w14:solidFill>
                    <w14:schemeClr w14:val="tx1"/>
                  </w14:solidFill>
                </w14:textFill>
              </w:rPr>
            </w:pPr>
            <w:r>
              <w:rPr>
                <w:rFonts w:hint="eastAsia" w:hAnsi="黑体"/>
                <w:color w:val="000000" w:themeColor="text1"/>
                <w:sz w:val="18"/>
                <w:szCs w:val="18"/>
                <w:lang w:val="en-US" w:eastAsia="zh-CN"/>
                <w14:textFill>
                  <w14:solidFill>
                    <w14:schemeClr w14:val="tx1"/>
                  </w14:solidFill>
                </w14:textFill>
              </w:rPr>
              <w:t>通过此交易查询医疗保障基金结算清单详细信息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4201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2-自费病人就医信息</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自费病人费用明细信息上传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通过此交易上传自费病人费用明细信息。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4301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3-门急诊业务</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门急诊诊疗记录</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通过此交易上传门急诊诊疗记录。</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4302</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急诊留观手术及抢救信息</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通过此交易上传急诊留观手术及抢救信息。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4401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4-住院业务</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住院病案首页信息</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通过此交易上传住院病案首页信息。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4402</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住院医嘱记录</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通过此交易上传住院医嘱记录。</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4501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5-临床辅助业务</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临床检查</w:t>
            </w:r>
            <w:r>
              <w:rPr>
                <w:rFonts w:hAnsi="黑体"/>
                <w:color w:val="000000" w:themeColor="text1"/>
                <w:sz w:val="18"/>
                <w:szCs w:val="18"/>
                <w14:textFill>
                  <w14:solidFill>
                    <w14:schemeClr w14:val="tx1"/>
                  </w14:solidFill>
                </w14:textFill>
              </w:rPr>
              <w:t>报告</w:t>
            </w:r>
            <w:r>
              <w:rPr>
                <w:rFonts w:hint="eastAsia" w:hAnsi="黑体"/>
                <w:color w:val="000000" w:themeColor="text1"/>
                <w:sz w:val="18"/>
                <w:szCs w:val="18"/>
                <w14:textFill>
                  <w14:solidFill>
                    <w14:schemeClr w14:val="tx1"/>
                  </w14:solidFill>
                </w14:textFill>
              </w:rPr>
              <w:t>记录</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通过此交易上传临床检查记录。</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4502</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临床检验</w:t>
            </w:r>
            <w:r>
              <w:rPr>
                <w:rFonts w:hAnsi="黑体"/>
                <w:color w:val="000000" w:themeColor="text1"/>
                <w:sz w:val="18"/>
                <w:szCs w:val="18"/>
                <w14:textFill>
                  <w14:solidFill>
                    <w14:schemeClr w14:val="tx1"/>
                  </w14:solidFill>
                </w14:textFill>
              </w:rPr>
              <w:t>报告</w:t>
            </w:r>
            <w:r>
              <w:rPr>
                <w:rFonts w:hint="eastAsia" w:hAnsi="黑体"/>
                <w:color w:val="000000" w:themeColor="text1"/>
                <w:sz w:val="18"/>
                <w:szCs w:val="18"/>
                <w14:textFill>
                  <w14:solidFill>
                    <w14:schemeClr w14:val="tx1"/>
                  </w14:solidFill>
                </w14:textFill>
              </w:rPr>
              <w:t>记录</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通过此交易上传临床检验记录。</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4503</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细菌培养报告记录</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通过此交易上传细菌培养报告记录。</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4504</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药敏记录报告记录</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通过此交易上传药敏记录报告记录。</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4505</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病理检查报告记录</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通过此交易上传病理检查报告记录。</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4506</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非结构化报告记录</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通过此交易上传非结构化报告记录。</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4601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6-医疗管理业务</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输血信息</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通过此交易上传输血信息。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4602</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护理操作生命体征测量记录</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通过此交易上传护理操作生命体征测量记录。</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4701</w:t>
            </w:r>
          </w:p>
        </w:tc>
        <w:tc>
          <w:tcPr>
            <w:tcW w:w="965" w:type="dxa"/>
            <w:vMerge w:val="continue"/>
            <w:tcBorders>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tcBorders>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7-电子病例</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电子病历上传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通过此交易上传电子病历信息。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5101</w:t>
            </w:r>
          </w:p>
        </w:tc>
        <w:tc>
          <w:tcPr>
            <w:tcW w:w="965" w:type="dxa"/>
            <w:vMerge w:val="restart"/>
            <w:tcBorders>
              <w:top w:val="nil"/>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5-信息查询</w:t>
            </w: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1-基础信息查询</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科室信息查询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通过此交易获取当前医疗机构的科室基本信息。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5102</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医执人员信息查询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通过此交易获取当前医药机构的医师、护士、药师人员信息。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5201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2-医保服务查询</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就诊信息查询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根据人员信息获取该人员在本机构一段时间内的就诊信息。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5202</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诊断信息查询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根据就诊信息获取该人员当次就诊的诊断信息。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5203</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结算信息查询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根据条件信息获取该人员在本机构一段时间内的结算信息。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5204</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费用明细查询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根据人员就诊信息获取该笔结算的明细信息。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5205</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人员慢特病用药记录查询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根据人员信息获取该人员在一段时间内的门诊慢特病用药信息。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5206</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人员累计信息查询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根据人员信息获取该人员的累计信息。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5301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3-医药机构服务查询</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人员慢特病备案查询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根据个人信息获取该人员当前有效的慢特病备案信息。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5302</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人员定点信息查询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通过此交易获取该人员当前的定点信息。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5303</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在院信息查询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通过此交易获取当前定点医疗机构的在院病人信息。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5304</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转院信息查询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通过此交易获取该人员在本机构一段时间内的转院信息。</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5401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4-检查检验互认结果查询</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项目互认信息查询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通过此交易在开医技医嘱时获取项目互认的结果。</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5402</w:t>
            </w:r>
          </w:p>
        </w:tc>
        <w:tc>
          <w:tcPr>
            <w:tcW w:w="965" w:type="dxa"/>
            <w:vMerge w:val="continue"/>
            <w:tcBorders>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报告明细信息查询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通过此交易在根据互认结果列表获取诊断明细。</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6101</w:t>
            </w:r>
          </w:p>
        </w:tc>
        <w:tc>
          <w:tcPr>
            <w:tcW w:w="965" w:type="dxa"/>
            <w:vMerge w:val="restart"/>
            <w:tcBorders>
              <w:top w:val="nil"/>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6-线上支付</w:t>
            </w:r>
          </w:p>
        </w:tc>
        <w:tc>
          <w:tcPr>
            <w:tcW w:w="1275"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1-医保提供接口</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药店线上费用明细上传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通过此交易，定点零售药店上传药店线上支付使用的费用明细。</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6201</w:t>
            </w:r>
          </w:p>
        </w:tc>
        <w:tc>
          <w:tcPr>
            <w:tcW w:w="965" w:type="dxa"/>
            <w:vMerge w:val="continue"/>
            <w:tcBorders>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2-定点医药机构提供接口</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订单确认</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通过此交易，医保局将线上订单费用信息通知到定点医药机构，定点医药机构进行订单确认。</w:t>
            </w:r>
          </w:p>
        </w:tc>
      </w:tr>
      <w:tr>
        <w:tblPrEx>
          <w:tblLayout w:type="fixed"/>
          <w:tblCellMar>
            <w:top w:w="0" w:type="dxa"/>
            <w:left w:w="108" w:type="dxa"/>
            <w:bottom w:w="0" w:type="dxa"/>
            <w:right w:w="108" w:type="dxa"/>
          </w:tblCellMar>
        </w:tblPrEx>
        <w:trPr>
          <w:trHeight w:val="30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6202</w:t>
            </w:r>
          </w:p>
        </w:tc>
        <w:tc>
          <w:tcPr>
            <w:tcW w:w="965" w:type="dxa"/>
            <w:vMerge w:val="continue"/>
            <w:tcBorders>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医保结算结果通知</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通过此交易，医保局将线上结算信息通知到定点医药机构。</w:t>
            </w:r>
          </w:p>
        </w:tc>
      </w:tr>
      <w:tr>
        <w:tblPrEx>
          <w:tblLayout w:type="fixed"/>
          <w:tblCellMar>
            <w:top w:w="0" w:type="dxa"/>
            <w:left w:w="108" w:type="dxa"/>
            <w:bottom w:w="0" w:type="dxa"/>
            <w:right w:w="108" w:type="dxa"/>
          </w:tblCellMar>
        </w:tblPrEx>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7101</w:t>
            </w:r>
          </w:p>
        </w:tc>
        <w:tc>
          <w:tcPr>
            <w:tcW w:w="965" w:type="dxa"/>
            <w:vMerge w:val="restart"/>
            <w:tcBorders>
              <w:top w:val="nil"/>
              <w:left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p>
          <w:p>
            <w:pPr>
              <w:spacing w:line="240" w:lineRule="auto"/>
              <w:ind w:firstLine="0" w:firstLineChars="0"/>
              <w:jc w:val="center"/>
              <w:rPr>
                <w:rFonts w:hAnsi="黑体"/>
                <w:color w:val="000000" w:themeColor="text1"/>
                <w:sz w:val="18"/>
                <w:szCs w:val="18"/>
                <w14:textFill>
                  <w14:solidFill>
                    <w14:schemeClr w14:val="tx1"/>
                  </w14:solidFill>
                </w14:textFill>
              </w:rPr>
            </w:pPr>
          </w:p>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7-处方外购</w:t>
            </w:r>
          </w:p>
        </w:tc>
        <w:tc>
          <w:tcPr>
            <w:tcW w:w="1275" w:type="dxa"/>
            <w:vMerge w:val="restart"/>
            <w:tcBorders>
              <w:top w:val="nil"/>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1-定点医疗机构处方服务</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电子处方上传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定点医疗机构实现用户的电子处方上传归档。</w:t>
            </w:r>
          </w:p>
        </w:tc>
      </w:tr>
      <w:tr>
        <w:tblPrEx>
          <w:tblLayout w:type="fixed"/>
          <w:tblCellMar>
            <w:top w:w="0" w:type="dxa"/>
            <w:left w:w="108" w:type="dxa"/>
            <w:bottom w:w="0" w:type="dxa"/>
            <w:right w:w="108" w:type="dxa"/>
          </w:tblCellMar>
        </w:tblPrEx>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7102</w:t>
            </w:r>
          </w:p>
        </w:tc>
        <w:tc>
          <w:tcPr>
            <w:tcW w:w="96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处方审核结果反馈</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定点医疗机构接收用户在定点医药机构购药时的处方审核结果的反馈通知。</w:t>
            </w:r>
          </w:p>
        </w:tc>
      </w:tr>
      <w:tr>
        <w:tblPrEx>
          <w:tblLayout w:type="fixed"/>
          <w:tblCellMar>
            <w:top w:w="0" w:type="dxa"/>
            <w:left w:w="108" w:type="dxa"/>
            <w:bottom w:w="0" w:type="dxa"/>
            <w:right w:w="108" w:type="dxa"/>
          </w:tblCellMar>
        </w:tblPrEx>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7103</w:t>
            </w:r>
          </w:p>
        </w:tc>
        <w:tc>
          <w:tcPr>
            <w:tcW w:w="96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处方购药结果反馈</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定时/每天</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定点医疗机构接收用户在定点医药机构购药时的购药结果明细的反馈通知。</w:t>
            </w:r>
          </w:p>
        </w:tc>
      </w:tr>
      <w:tr>
        <w:tblPrEx>
          <w:tblLayout w:type="fixed"/>
          <w:tblCellMar>
            <w:top w:w="0" w:type="dxa"/>
            <w:left w:w="108" w:type="dxa"/>
            <w:bottom w:w="0" w:type="dxa"/>
            <w:right w:w="108" w:type="dxa"/>
          </w:tblCellMar>
        </w:tblPrEx>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7104</w:t>
            </w:r>
          </w:p>
        </w:tc>
        <w:tc>
          <w:tcPr>
            <w:tcW w:w="96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电子处方撤销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通过此交易，定点医疗机构对还未结算的异常电子处方进行撤销操作</w:t>
            </w:r>
          </w:p>
        </w:tc>
      </w:tr>
      <w:tr>
        <w:tblPrEx>
          <w:tblLayout w:type="fixed"/>
          <w:tblCellMar>
            <w:top w:w="0" w:type="dxa"/>
            <w:left w:w="108" w:type="dxa"/>
            <w:bottom w:w="0" w:type="dxa"/>
            <w:right w:w="108" w:type="dxa"/>
          </w:tblCellMar>
        </w:tblPrEx>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7201</w:t>
            </w:r>
          </w:p>
        </w:tc>
        <w:tc>
          <w:tcPr>
            <w:tcW w:w="96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2-定点医药机构外购服务</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处方二维码解析</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定点医药机构解析电子处方二维码信息，获取令牌和处方唯一标识及个人身份信息。</w:t>
            </w:r>
          </w:p>
        </w:tc>
      </w:tr>
      <w:tr>
        <w:tblPrEx>
          <w:tblLayout w:type="fixed"/>
          <w:tblCellMar>
            <w:top w:w="0" w:type="dxa"/>
            <w:left w:w="108" w:type="dxa"/>
            <w:bottom w:w="0" w:type="dxa"/>
            <w:right w:w="108" w:type="dxa"/>
          </w:tblCellMar>
        </w:tblPrEx>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7202</w:t>
            </w:r>
          </w:p>
        </w:tc>
        <w:tc>
          <w:tcPr>
            <w:tcW w:w="96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电子处方查询</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定点医药机构线下查询用户的待使用的电子处方列表。</w:t>
            </w:r>
          </w:p>
        </w:tc>
      </w:tr>
      <w:tr>
        <w:tblPrEx>
          <w:tblLayout w:type="fixed"/>
          <w:tblCellMar>
            <w:top w:w="0" w:type="dxa"/>
            <w:left w:w="108" w:type="dxa"/>
            <w:bottom w:w="0" w:type="dxa"/>
            <w:right w:w="108" w:type="dxa"/>
          </w:tblCellMar>
        </w:tblPrEx>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7203</w:t>
            </w:r>
          </w:p>
        </w:tc>
        <w:tc>
          <w:tcPr>
            <w:tcW w:w="96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电子处方下载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定点医药机构使用处方二维码解析后令牌或从电子处方查询结果中选择处方，下载电子处方详情。</w:t>
            </w:r>
          </w:p>
        </w:tc>
      </w:tr>
      <w:tr>
        <w:tblPrEx>
          <w:tblLayout w:type="fixed"/>
          <w:tblCellMar>
            <w:top w:w="0" w:type="dxa"/>
            <w:left w:w="108" w:type="dxa"/>
            <w:bottom w:w="0" w:type="dxa"/>
            <w:right w:w="108" w:type="dxa"/>
          </w:tblCellMar>
        </w:tblPrEx>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7204</w:t>
            </w:r>
          </w:p>
        </w:tc>
        <w:tc>
          <w:tcPr>
            <w:tcW w:w="96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电子处方审核</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定点医药机构进行处方有效性及状态核验，药师审核电子处方，并上传审核结果。</w:t>
            </w:r>
          </w:p>
        </w:tc>
      </w:tr>
      <w:tr>
        <w:tblPrEx>
          <w:tblLayout w:type="fixed"/>
          <w:tblCellMar>
            <w:top w:w="0" w:type="dxa"/>
            <w:left w:w="108" w:type="dxa"/>
            <w:bottom w:w="0" w:type="dxa"/>
            <w:right w:w="108" w:type="dxa"/>
          </w:tblCellMar>
        </w:tblPrEx>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7205</w:t>
            </w:r>
          </w:p>
        </w:tc>
        <w:tc>
          <w:tcPr>
            <w:tcW w:w="965" w:type="dxa"/>
            <w:vMerge w:val="continue"/>
            <w:tcBorders>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配送信息上传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定点医药机构接对处方药品配送信息和实时状态可以进行上传和同步。</w:t>
            </w:r>
          </w:p>
        </w:tc>
      </w:tr>
      <w:tr>
        <w:tblPrEx>
          <w:tblLayout w:type="fixed"/>
          <w:tblCellMar>
            <w:top w:w="0" w:type="dxa"/>
            <w:left w:w="108" w:type="dxa"/>
            <w:bottom w:w="0" w:type="dxa"/>
            <w:right w:w="108" w:type="dxa"/>
          </w:tblCellMar>
        </w:tblPrEx>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9001</w:t>
            </w:r>
          </w:p>
        </w:tc>
        <w:tc>
          <w:tcPr>
            <w:tcW w:w="96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9-其他</w:t>
            </w: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0-签到签退</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签到</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通过此交易进行调用方签到。</w:t>
            </w:r>
          </w:p>
        </w:tc>
      </w:tr>
      <w:tr>
        <w:tblPrEx>
          <w:tblLayout w:type="fixed"/>
          <w:tblCellMar>
            <w:top w:w="0" w:type="dxa"/>
            <w:left w:w="108" w:type="dxa"/>
            <w:bottom w:w="0" w:type="dxa"/>
            <w:right w:w="108" w:type="dxa"/>
          </w:tblCellMar>
        </w:tblPrEx>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9002</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签退</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通过此交易进行调用方签退。</w:t>
            </w:r>
          </w:p>
        </w:tc>
      </w:tr>
      <w:tr>
        <w:tblPrEx>
          <w:tblLayout w:type="fixed"/>
          <w:tblCellMar>
            <w:top w:w="0" w:type="dxa"/>
            <w:left w:w="108" w:type="dxa"/>
            <w:bottom w:w="0" w:type="dxa"/>
            <w:right w:w="108" w:type="dxa"/>
          </w:tblCellMar>
        </w:tblPrEx>
        <w:trPr>
          <w:trHeight w:val="28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9101</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1-上传下载</w:t>
            </w: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文件上传</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通过此交易上传文件。</w:t>
            </w:r>
          </w:p>
        </w:tc>
      </w:tr>
      <w:tr>
        <w:tblPrEx>
          <w:tblLayout w:type="fixed"/>
          <w:tblCellMar>
            <w:top w:w="0" w:type="dxa"/>
            <w:left w:w="108" w:type="dxa"/>
            <w:bottom w:w="0" w:type="dxa"/>
            <w:right w:w="108" w:type="dxa"/>
          </w:tblCellMar>
        </w:tblPrEx>
        <w:trPr>
          <w:trHeight w:val="560" w:hRule="atLeast"/>
        </w:trPr>
        <w:tc>
          <w:tcPr>
            <w:tcW w:w="964"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9102</w:t>
            </w:r>
          </w:p>
        </w:tc>
        <w:tc>
          <w:tcPr>
            <w:tcW w:w="96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rFonts w:hAnsi="黑体"/>
                <w:color w:val="000000" w:themeColor="text1"/>
                <w:sz w:val="18"/>
                <w:szCs w:val="18"/>
                <w14:textFill>
                  <w14:solidFill>
                    <w14:schemeClr w14:val="tx1"/>
                  </w14:solidFill>
                </w14:textFill>
              </w:rPr>
            </w:pPr>
          </w:p>
        </w:tc>
        <w:tc>
          <w:tcPr>
            <w:tcW w:w="203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文件下载</w:t>
            </w:r>
          </w:p>
        </w:tc>
        <w:tc>
          <w:tcPr>
            <w:tcW w:w="108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实时</w:t>
            </w:r>
          </w:p>
        </w:tc>
        <w:tc>
          <w:tcPr>
            <w:tcW w:w="2195"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Ansi="黑体"/>
                <w:color w:val="000000" w:themeColor="text1"/>
                <w:sz w:val="18"/>
                <w:szCs w:val="18"/>
                <w14:textFill>
                  <w14:solidFill>
                    <w14:schemeClr w14:val="tx1"/>
                  </w14:solidFill>
                </w14:textFill>
              </w:rPr>
            </w:pPr>
            <w:r>
              <w:rPr>
                <w:rFonts w:hint="eastAsia" w:hAnsi="黑体"/>
                <w:color w:val="000000" w:themeColor="text1"/>
                <w:sz w:val="18"/>
                <w:szCs w:val="18"/>
                <w14:textFill>
                  <w14:solidFill>
                    <w14:schemeClr w14:val="tx1"/>
                  </w14:solidFill>
                </w14:textFill>
              </w:rPr>
              <w:t>通过此交易下载【1301-1319】目录信息下载、【5204】费用明细查询、【3202】医药机构费用结算对明细账交易生成的文件。</w:t>
            </w:r>
          </w:p>
        </w:tc>
      </w:tr>
    </w:tbl>
    <w:p>
      <w:pPr>
        <w:pStyle w:val="8"/>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说明</w:t>
      </w:r>
      <w:r>
        <w:rPr>
          <w:rFonts w:hint="eastAsia" w:ascii="宋体" w:hAnsi="宋体" w:eastAsia="宋体" w:cs="宋体"/>
          <w:color w:val="auto"/>
          <w:kern w:val="0"/>
          <w:sz w:val="24"/>
          <w:szCs w:val="24"/>
          <w:lang w:val="en-US" w:eastAsia="zh-CN" w:bidi="ar-SA"/>
        </w:rPr>
        <w:t>：</w:t>
      </w:r>
      <w:r>
        <w:rPr>
          <w:rFonts w:hint="eastAsia" w:ascii="宋体" w:hAnsi="宋体" w:eastAsia="宋体" w:cs="宋体"/>
          <w:b/>
          <w:bCs/>
          <w:color w:val="auto"/>
          <w:kern w:val="0"/>
          <w:sz w:val="24"/>
          <w:szCs w:val="24"/>
          <w:lang w:val="en-US" w:eastAsia="zh-CN" w:bidi="ar-SA"/>
        </w:rPr>
        <w:t>不以完成全部接口为验收条件，但是在该技术参数内的接口，如果医院有需要，中标公司必须无条件免费完成。</w:t>
      </w:r>
    </w:p>
    <w:p>
      <w:pPr>
        <w:pStyle w:val="8"/>
        <w:pageBreakBefore w:val="0"/>
        <w:numPr>
          <w:ilvl w:val="0"/>
          <w:numId w:val="1"/>
        </w:numPr>
        <w:kinsoku/>
        <w:wordWrap/>
        <w:overflowPunct/>
        <w:topLinePunct w:val="0"/>
        <w:autoSpaceDE/>
        <w:autoSpaceDN/>
        <w:bidi w:val="0"/>
        <w:adjustRightInd/>
        <w:snapToGrid/>
        <w:spacing w:line="240" w:lineRule="auto"/>
        <w:ind w:left="0" w:leftChars="0" w:firstLine="562" w:firstLineChars="200"/>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rPr>
        <w:t>对接口及系统改造的要求</w:t>
      </w:r>
    </w:p>
    <w:p>
      <w:pPr>
        <w:pageBreakBefore w:val="0"/>
        <w:kinsoku/>
        <w:wordWrap/>
        <w:overflowPunct/>
        <w:topLinePunct w:val="0"/>
        <w:autoSpaceDE/>
        <w:autoSpaceDN/>
        <w:bidi w:val="0"/>
        <w:adjustRightInd/>
        <w:snapToGrid/>
        <w:spacing w:line="240" w:lineRule="auto"/>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维保期和续保期内免费实现以下要求：</w:t>
      </w:r>
    </w:p>
    <w:p>
      <w:pPr>
        <w:pStyle w:val="2"/>
        <w:pageBreakBefore w:val="0"/>
        <w:kinsoku/>
        <w:wordWrap/>
        <w:overflowPunct/>
        <w:topLinePunct w:val="0"/>
        <w:autoSpaceDE/>
        <w:autoSpaceDN/>
        <w:bidi w:val="0"/>
        <w:adjustRightInd/>
        <w:snapToGrid/>
        <w:spacing w:line="240"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3.1提供全面的接口技术，与第三方系统共享数据和功能，这些接口技术包括中间件技术接口、WEBSEVICE通用接口、数据库级接口、文件文本接口等。</w:t>
      </w:r>
    </w:p>
    <w:p>
      <w:pPr>
        <w:pStyle w:val="2"/>
        <w:pageBreakBefore w:val="0"/>
        <w:kinsoku/>
        <w:wordWrap/>
        <w:overflowPunct/>
        <w:topLinePunct w:val="0"/>
        <w:autoSpaceDE/>
        <w:autoSpaceDN/>
        <w:bidi w:val="0"/>
        <w:adjustRightInd/>
        <w:snapToGrid/>
        <w:spacing w:line="240"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3.2提供与医院第三方系统统一接口的维护与管理，与HIS、电子病历、LIS、PACS、心电系统、体检系统、集成平台、成本管理系统、排班系统、人事管理系统、财务管理系统、互联网医院、OA系统、自助服务平台、DRG管理、绩效管理、电子发票、短信平台、财务电子档案等其他所有医院相关业务系统（包括以上医院系统但不仅限于以上系统）进行免费接口对接，实现数据交换</w:t>
      </w:r>
      <w:r>
        <w:rPr>
          <w:rFonts w:hint="eastAsia" w:ascii="宋体" w:hAnsi="宋体" w:eastAsia="宋体" w:cs="宋体"/>
          <w:color w:val="auto"/>
          <w:sz w:val="24"/>
          <w:lang w:val="en-US" w:eastAsia="zh-CN"/>
        </w:rPr>
        <w:t>。如投标产品不需要与这些系统进行对接，则此条无效</w:t>
      </w:r>
      <w:r>
        <w:rPr>
          <w:rFonts w:hint="eastAsia" w:ascii="宋体" w:hAnsi="宋体" w:eastAsia="宋体" w:cs="宋体"/>
          <w:color w:val="auto"/>
          <w:sz w:val="24"/>
          <w:lang w:val="en-US"/>
        </w:rPr>
        <w:t>。</w:t>
      </w:r>
    </w:p>
    <w:p>
      <w:pPr>
        <w:pStyle w:val="2"/>
        <w:pageBreakBefore w:val="0"/>
        <w:kinsoku/>
        <w:wordWrap/>
        <w:overflowPunct/>
        <w:topLinePunct w:val="0"/>
        <w:autoSpaceDE/>
        <w:autoSpaceDN/>
        <w:bidi w:val="0"/>
        <w:adjustRightInd/>
        <w:snapToGrid/>
        <w:spacing w:line="240"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3.3满足医院电子病历系统功能应用水平分级评价达到6级以上评审、医院信息互联互通标准化成熟度测评达到</w:t>
      </w:r>
      <w:r>
        <w:rPr>
          <w:rFonts w:hint="eastAsia" w:ascii="宋体" w:hAnsi="宋体" w:eastAsia="宋体" w:cs="宋体"/>
          <w:color w:val="auto"/>
          <w:sz w:val="24"/>
          <w:lang w:val="en-US" w:eastAsia="zh-CN"/>
        </w:rPr>
        <w:t>五</w:t>
      </w:r>
      <w:r>
        <w:rPr>
          <w:rFonts w:hint="eastAsia" w:ascii="宋体" w:hAnsi="宋体" w:eastAsia="宋体" w:cs="宋体"/>
          <w:color w:val="auto"/>
          <w:sz w:val="24"/>
          <w:lang w:val="en-US"/>
        </w:rPr>
        <w:t>级</w:t>
      </w:r>
      <w:r>
        <w:rPr>
          <w:rFonts w:hint="eastAsia" w:ascii="宋体" w:hAnsi="宋体" w:eastAsia="宋体" w:cs="宋体"/>
          <w:color w:val="auto"/>
          <w:sz w:val="24"/>
          <w:lang w:val="en-US" w:eastAsia="zh-CN"/>
        </w:rPr>
        <w:t>乙</w:t>
      </w:r>
      <w:r>
        <w:rPr>
          <w:rFonts w:hint="eastAsia" w:ascii="宋体" w:hAnsi="宋体" w:eastAsia="宋体" w:cs="宋体"/>
          <w:color w:val="auto"/>
          <w:sz w:val="24"/>
          <w:lang w:val="en-US"/>
        </w:rPr>
        <w:t>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bookmarkStart w:id="4" w:name="_GoBack"/>
      <w:bookmarkEnd w:id="4"/>
      <w:r>
        <w:rPr>
          <w:rFonts w:hint="eastAsia" w:ascii="宋体" w:hAnsi="宋体" w:eastAsia="宋体" w:cs="宋体"/>
          <w:color w:val="auto"/>
          <w:sz w:val="24"/>
          <w:lang w:val="en-US"/>
        </w:rPr>
        <w:t>；</w:t>
      </w:r>
    </w:p>
    <w:p>
      <w:pPr>
        <w:pStyle w:val="2"/>
        <w:pageBreakBefore w:val="0"/>
        <w:kinsoku/>
        <w:wordWrap/>
        <w:overflowPunct/>
        <w:topLinePunct w:val="0"/>
        <w:autoSpaceDE/>
        <w:autoSpaceDN/>
        <w:bidi w:val="0"/>
        <w:adjustRightInd/>
        <w:snapToGrid/>
        <w:spacing w:line="240"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3.4提供软件免费升级及个性化修改服务，免费实现院方的个性化需求；软件自身错误类问题提供永久性免费修改服务；</w:t>
      </w:r>
    </w:p>
    <w:p>
      <w:pPr>
        <w:pStyle w:val="2"/>
        <w:pageBreakBefore w:val="0"/>
        <w:kinsoku/>
        <w:wordWrap/>
        <w:overflowPunct/>
        <w:topLinePunct w:val="0"/>
        <w:autoSpaceDE/>
        <w:autoSpaceDN/>
        <w:bidi w:val="0"/>
        <w:adjustRightInd/>
        <w:snapToGrid/>
        <w:spacing w:line="240"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3.5免费提供医院新增业务信息系统的对接、免费实现医院上级管理部门要求的系统接口对接要求。</w:t>
      </w:r>
    </w:p>
    <w:p>
      <w:pPr>
        <w:pStyle w:val="3"/>
        <w:pageBreakBefore w:val="0"/>
        <w:numPr>
          <w:ilvl w:val="0"/>
          <w:numId w:val="1"/>
        </w:numPr>
        <w:kinsoku/>
        <w:wordWrap/>
        <w:overflowPunct/>
        <w:topLinePunct w:val="0"/>
        <w:autoSpaceDE/>
        <w:autoSpaceDN/>
        <w:bidi w:val="0"/>
        <w:adjustRightInd/>
        <w:snapToGrid/>
        <w:spacing w:before="312" w:beforeLines="100" w:line="240" w:lineRule="auto"/>
        <w:ind w:left="0" w:leftChars="0" w:firstLine="643" w:firstLineChars="200"/>
        <w:textAlignment w:val="auto"/>
        <w:rPr>
          <w:rFonts w:ascii="宋体" w:hAnsi="宋体"/>
          <w:bCs w:val="0"/>
          <w:sz w:val="32"/>
          <w:szCs w:val="32"/>
        </w:rPr>
      </w:pPr>
      <w:r>
        <w:rPr>
          <w:rFonts w:hint="eastAsia" w:ascii="宋体" w:hAnsi="宋体"/>
          <w:bCs w:val="0"/>
          <w:sz w:val="32"/>
          <w:szCs w:val="32"/>
        </w:rPr>
        <w:t>项目实施要求</w:t>
      </w:r>
    </w:p>
    <w:p>
      <w:pPr>
        <w:pStyle w:val="2"/>
        <w:pageBreakBefore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4.1驻场、实施工期要求：合同签订后，7个工作日内项目实施人员必须进场</w:t>
      </w:r>
      <w:r>
        <w:rPr>
          <w:rFonts w:hint="eastAsia" w:ascii="宋体" w:hAnsi="宋体" w:eastAsia="宋体" w:cs="宋体"/>
          <w:color w:val="auto"/>
          <w:sz w:val="24"/>
          <w:lang w:val="en-US" w:eastAsia="zh-CN"/>
        </w:rPr>
        <w:t>，系统需在</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auto"/>
          <w:sz w:val="24"/>
          <w:lang w:val="en-US"/>
        </w:rPr>
        <w:t>个月内完成项目实施上线</w:t>
      </w:r>
      <w:r>
        <w:rPr>
          <w:rFonts w:hint="eastAsia" w:ascii="宋体" w:hAnsi="宋体" w:eastAsia="宋体" w:cs="宋体"/>
          <w:color w:val="auto"/>
          <w:sz w:val="24"/>
          <w:lang w:val="en-US" w:eastAsia="zh-CN"/>
        </w:rPr>
        <w:t>，请分别列出每个系统实施的工作计划及周期</w:t>
      </w:r>
      <w:r>
        <w:rPr>
          <w:rFonts w:hint="eastAsia" w:ascii="宋体" w:hAnsi="宋体" w:eastAsia="宋体" w:cs="宋体"/>
          <w:color w:val="auto"/>
          <w:sz w:val="24"/>
          <w:lang w:val="en-US"/>
        </w:rPr>
        <w:t>。</w:t>
      </w:r>
    </w:p>
    <w:p>
      <w:pPr>
        <w:pStyle w:val="2"/>
        <w:pageBreakBefore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4.2</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人员要求：</w:t>
      </w:r>
    </w:p>
    <w:p>
      <w:pPr>
        <w:pStyle w:val="2"/>
        <w:pageBreakBefore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实施工程师：</w:t>
      </w:r>
      <w:r>
        <w:rPr>
          <w:rFonts w:hint="eastAsia" w:ascii="宋体" w:hAnsi="宋体" w:eastAsia="宋体" w:cs="宋体"/>
          <w:color w:val="auto"/>
          <w:sz w:val="24"/>
          <w:lang w:val="en-US"/>
        </w:rPr>
        <w:t>项目驻场实施</w:t>
      </w:r>
      <w:r>
        <w:rPr>
          <w:rFonts w:hint="eastAsia" w:ascii="宋体" w:hAnsi="宋体" w:eastAsia="宋体" w:cs="宋体"/>
          <w:color w:val="auto"/>
          <w:sz w:val="24"/>
          <w:lang w:val="en-US" w:eastAsia="zh-CN"/>
        </w:rPr>
        <w:t>工程师</w:t>
      </w:r>
      <w:r>
        <w:rPr>
          <w:rFonts w:hint="eastAsia" w:ascii="宋体" w:hAnsi="宋体" w:eastAsia="宋体" w:cs="宋体"/>
          <w:color w:val="auto"/>
          <w:sz w:val="24"/>
          <w:lang w:val="en-US"/>
        </w:rPr>
        <w:t>需有2年以上</w:t>
      </w:r>
      <w:r>
        <w:rPr>
          <w:rFonts w:hint="eastAsia" w:ascii="宋体" w:hAnsi="宋体" w:eastAsia="宋体" w:cs="宋体"/>
          <w:color w:val="auto"/>
          <w:sz w:val="24"/>
          <w:lang w:val="en-US" w:eastAsia="zh-CN"/>
        </w:rPr>
        <w:t>本厂商</w:t>
      </w:r>
      <w:r>
        <w:rPr>
          <w:rFonts w:hint="eastAsia" w:ascii="宋体" w:hAnsi="宋体" w:eastAsia="宋体" w:cs="宋体"/>
          <w:color w:val="auto"/>
          <w:sz w:val="24"/>
          <w:lang w:val="en-US"/>
        </w:rPr>
        <w:t>同等项目实施经验</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项目实施</w:t>
      </w:r>
      <w:r>
        <w:rPr>
          <w:rFonts w:hint="eastAsia" w:ascii="宋体" w:hAnsi="宋体" w:eastAsia="宋体" w:cs="宋体"/>
          <w:color w:val="auto"/>
          <w:sz w:val="24"/>
          <w:lang w:val="en-US" w:eastAsia="zh-CN"/>
        </w:rPr>
        <w:t>阶段</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实施</w:t>
      </w:r>
      <w:r>
        <w:rPr>
          <w:rFonts w:hint="eastAsia" w:ascii="宋体" w:hAnsi="宋体" w:eastAsia="宋体" w:cs="宋体"/>
          <w:color w:val="auto"/>
          <w:sz w:val="24"/>
          <w:lang w:val="en-US" w:eastAsia="zh-CN"/>
        </w:rPr>
        <w:t>工程师</w:t>
      </w:r>
      <w:r>
        <w:rPr>
          <w:rFonts w:hint="eastAsia" w:ascii="宋体" w:hAnsi="宋体" w:eastAsia="宋体" w:cs="宋体"/>
          <w:color w:val="auto"/>
          <w:sz w:val="24"/>
          <w:lang w:val="en-US"/>
        </w:rPr>
        <w:t>不得少于</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lang w:val="en-US"/>
        </w:rPr>
        <w:t>名</w:t>
      </w:r>
      <w:r>
        <w:rPr>
          <w:rFonts w:hint="eastAsia" w:ascii="宋体" w:hAnsi="宋体" w:eastAsia="宋体" w:cs="宋体"/>
          <w:color w:val="auto"/>
          <w:sz w:val="24"/>
          <w:lang w:val="en-US" w:eastAsia="zh-CN"/>
        </w:rPr>
        <w:t>。</w:t>
      </w:r>
    </w:p>
    <w:p>
      <w:pPr>
        <w:pStyle w:val="2"/>
        <w:pageBreakBefore w:val="0"/>
        <w:kinsoku/>
        <w:wordWrap/>
        <w:overflowPunct/>
        <w:topLinePunct w:val="0"/>
        <w:autoSpaceDE/>
        <w:autoSpaceDN/>
        <w:bidi w:val="0"/>
        <w:adjustRightInd/>
        <w:snapToGrid/>
        <w:spacing w:line="240" w:lineRule="auto"/>
        <w:ind w:firstLine="42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开发工程师：</w:t>
      </w:r>
      <w:r>
        <w:rPr>
          <w:rFonts w:hint="eastAsia" w:ascii="宋体" w:hAnsi="宋体" w:eastAsia="宋体" w:cs="宋体"/>
          <w:color w:val="auto"/>
          <w:sz w:val="24"/>
          <w:lang w:val="en-US"/>
        </w:rPr>
        <w:t>项目</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开发工程师需有</w:t>
      </w:r>
      <w:r>
        <w:rPr>
          <w:rFonts w:hint="eastAsia" w:ascii="宋体" w:hAnsi="宋体" w:eastAsia="宋体" w:cs="宋体"/>
          <w:color w:val="auto"/>
          <w:sz w:val="24"/>
          <w:lang w:val="en-US" w:eastAsia="zh-CN"/>
        </w:rPr>
        <w:t>2</w:t>
      </w:r>
      <w:r>
        <w:rPr>
          <w:rFonts w:hint="eastAsia" w:ascii="宋体" w:hAnsi="宋体" w:eastAsia="宋体" w:cs="宋体"/>
          <w:color w:val="auto"/>
          <w:sz w:val="24"/>
          <w:lang w:val="en-US"/>
        </w:rPr>
        <w:t>年以上</w:t>
      </w:r>
      <w:r>
        <w:rPr>
          <w:rFonts w:hint="eastAsia" w:ascii="宋体" w:hAnsi="宋体" w:eastAsia="宋体" w:cs="宋体"/>
          <w:color w:val="auto"/>
          <w:sz w:val="24"/>
          <w:lang w:val="en-US" w:eastAsia="zh-CN"/>
        </w:rPr>
        <w:t>本厂商</w:t>
      </w:r>
      <w:r>
        <w:rPr>
          <w:rFonts w:hint="eastAsia" w:ascii="宋体" w:hAnsi="宋体" w:eastAsia="宋体" w:cs="宋体"/>
          <w:color w:val="auto"/>
          <w:sz w:val="24"/>
          <w:lang w:val="en-US"/>
        </w:rPr>
        <w:t>同类型项目开发经验</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项目实施</w:t>
      </w:r>
      <w:r>
        <w:rPr>
          <w:rFonts w:hint="eastAsia" w:ascii="宋体" w:hAnsi="宋体" w:eastAsia="宋体" w:cs="宋体"/>
          <w:color w:val="auto"/>
          <w:sz w:val="24"/>
          <w:lang w:val="en-US" w:eastAsia="zh-CN"/>
        </w:rPr>
        <w:t>和上线阶段</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驻场开发工程师</w:t>
      </w:r>
      <w:r>
        <w:rPr>
          <w:rFonts w:hint="eastAsia" w:ascii="宋体" w:hAnsi="宋体" w:eastAsia="宋体" w:cs="宋体"/>
          <w:color w:val="auto"/>
          <w:sz w:val="24"/>
          <w:lang w:val="en-US"/>
        </w:rPr>
        <w:t>不得少于</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lang w:val="en-US"/>
        </w:rPr>
        <w:t>名</w:t>
      </w:r>
      <w:r>
        <w:rPr>
          <w:rFonts w:hint="eastAsia" w:ascii="宋体" w:hAnsi="宋体" w:eastAsia="宋体" w:cs="宋体"/>
          <w:color w:val="auto"/>
          <w:sz w:val="24"/>
          <w:lang w:val="en-US" w:eastAsia="zh-CN"/>
        </w:rPr>
        <w:t>。如不能按项目阶段计划正常开展工作的，医院书面提出要求，驻场开发人员不得少于</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lang w:val="en-US" w:eastAsia="zh-CN"/>
        </w:rPr>
        <w:t>人（含原驻场人员在内）。</w:t>
      </w:r>
    </w:p>
    <w:p>
      <w:pPr>
        <w:pStyle w:val="2"/>
        <w:pageBreakBefore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rPr>
        <w:t>如需更换</w:t>
      </w:r>
      <w:r>
        <w:rPr>
          <w:rFonts w:hint="eastAsia" w:ascii="宋体" w:hAnsi="宋体" w:eastAsia="宋体" w:cs="宋体"/>
          <w:color w:val="auto"/>
          <w:sz w:val="24"/>
          <w:lang w:val="en-US" w:eastAsia="zh-CN"/>
        </w:rPr>
        <w:t>开发工程师、实施工程师</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厂商</w:t>
      </w:r>
      <w:r>
        <w:rPr>
          <w:rFonts w:hint="eastAsia" w:ascii="宋体" w:hAnsi="宋体" w:eastAsia="宋体" w:cs="宋体"/>
          <w:color w:val="auto"/>
          <w:sz w:val="24"/>
          <w:lang w:val="en-US"/>
        </w:rPr>
        <w:t>需提交书面申请，经院方同意才可更换。</w:t>
      </w:r>
    </w:p>
    <w:p>
      <w:pPr>
        <w:pStyle w:val="2"/>
        <w:pageBreakBefore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竞标文件中需提供软件提供商项目驻场人员清单（含项目开发和项目实施人员），清单中标明驻场人员详细信息，如姓名、联系方式、技术职称、社保证明等。</w:t>
      </w:r>
    </w:p>
    <w:p>
      <w:pPr>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因厂商与院方存在对需求理解有差异的可能性，要求所有软件功能需求的响应以院方意见为准</w:t>
      </w:r>
      <w:r>
        <w:rPr>
          <w:rFonts w:hint="eastAsia" w:ascii="宋体" w:hAnsi="宋体" w:eastAsia="宋体" w:cs="宋体"/>
          <w:color w:val="auto"/>
          <w:sz w:val="24"/>
          <w:szCs w:val="24"/>
          <w:lang w:eastAsia="zh-CN"/>
        </w:rPr>
        <w:t>。</w:t>
      </w:r>
    </w:p>
    <w:p>
      <w:pPr>
        <w:pStyle w:val="2"/>
        <w:pageBreakBefore w:val="0"/>
        <w:kinsoku/>
        <w:wordWrap/>
        <w:overflowPunct/>
        <w:topLinePunct w:val="0"/>
        <w:autoSpaceDE/>
        <w:autoSpaceDN/>
        <w:bidi w:val="0"/>
        <w:adjustRightInd/>
        <w:snapToGrid/>
        <w:spacing w:line="240" w:lineRule="auto"/>
        <w:textAlignment w:val="auto"/>
        <w:rPr>
          <w:lang w:val="en-US"/>
        </w:rPr>
      </w:pPr>
    </w:p>
    <w:p>
      <w:pPr>
        <w:pStyle w:val="3"/>
        <w:pageBreakBefore w:val="0"/>
        <w:numPr>
          <w:ilvl w:val="0"/>
          <w:numId w:val="1"/>
        </w:numPr>
        <w:kinsoku/>
        <w:wordWrap/>
        <w:overflowPunct/>
        <w:topLinePunct w:val="0"/>
        <w:autoSpaceDE/>
        <w:autoSpaceDN/>
        <w:bidi w:val="0"/>
        <w:adjustRightInd/>
        <w:snapToGrid/>
        <w:spacing w:before="312" w:beforeLines="100" w:line="240" w:lineRule="auto"/>
        <w:ind w:left="0" w:leftChars="0" w:firstLine="643" w:firstLineChars="200"/>
        <w:textAlignment w:val="auto"/>
        <w:rPr>
          <w:rFonts w:ascii="宋体" w:hAnsi="宋体"/>
          <w:bCs w:val="0"/>
          <w:sz w:val="32"/>
          <w:szCs w:val="32"/>
        </w:rPr>
      </w:pPr>
      <w:r>
        <w:rPr>
          <w:rFonts w:hint="eastAsia" w:ascii="宋体" w:hAnsi="宋体"/>
          <w:bCs w:val="0"/>
          <w:sz w:val="32"/>
          <w:szCs w:val="32"/>
        </w:rPr>
        <w:t>售后服务及其他要求</w:t>
      </w:r>
    </w:p>
    <w:p>
      <w:pPr>
        <w:pageBreakBefore w:val="0"/>
        <w:kinsoku/>
        <w:wordWrap/>
        <w:overflowPunct/>
        <w:topLinePunct w:val="0"/>
        <w:autoSpaceDE/>
        <w:autoSpaceDN/>
        <w:bidi w:val="0"/>
        <w:adjustRightInd/>
        <w:snapToGrid/>
        <w:spacing w:line="240" w:lineRule="auto"/>
        <w:ind w:firstLine="480" w:firstLineChars="200"/>
        <w:jc w:val="left"/>
        <w:textAlignment w:val="auto"/>
        <w:rPr>
          <w:rFonts w:ascii="宋体" w:hAnsi="宋体" w:cs="宋体"/>
          <w:sz w:val="24"/>
          <w:szCs w:val="24"/>
        </w:rPr>
      </w:pPr>
      <w:r>
        <w:rPr>
          <w:rFonts w:hint="eastAsia" w:ascii="宋体" w:hAnsi="宋体" w:eastAsia="宋体" w:cs="微软雅黑"/>
          <w:sz w:val="24"/>
          <w:szCs w:val="24"/>
        </w:rPr>
        <w:t>5.1自本项目整体最终验收之日起，所有产品要求提供三年的免费维保服务。</w:t>
      </w:r>
      <w:r>
        <w:rPr>
          <w:rFonts w:hint="eastAsia" w:ascii="宋体" w:hAnsi="宋体" w:cs="宋体"/>
          <w:sz w:val="24"/>
          <w:szCs w:val="24"/>
        </w:rPr>
        <w:t>含软硬件维护和系统软件升级、技术支持服务、</w:t>
      </w:r>
      <w:r>
        <w:rPr>
          <w:rFonts w:hint="eastAsia" w:ascii="宋体" w:hAnsi="宋体" w:eastAsia="宋体" w:cs="微软雅黑"/>
          <w:sz w:val="24"/>
          <w:szCs w:val="24"/>
        </w:rPr>
        <w:t>系统管理及操作培训</w:t>
      </w:r>
      <w:r>
        <w:rPr>
          <w:rFonts w:hint="eastAsia" w:ascii="宋体" w:hAnsi="宋体" w:cs="宋体"/>
          <w:sz w:val="24"/>
          <w:szCs w:val="24"/>
        </w:rPr>
        <w:t>，</w:t>
      </w:r>
      <w:r>
        <w:rPr>
          <w:rFonts w:hint="eastAsia" w:ascii="宋体" w:hAnsi="宋体" w:eastAsia="宋体" w:cs="微软雅黑"/>
          <w:sz w:val="24"/>
          <w:szCs w:val="24"/>
        </w:rPr>
        <w:t>免费提供系统个性化修改需求。</w:t>
      </w:r>
      <w:r>
        <w:rPr>
          <w:rFonts w:hint="eastAsia" w:ascii="宋体" w:hAnsi="宋体" w:cs="宋体"/>
          <w:sz w:val="24"/>
          <w:szCs w:val="24"/>
        </w:rPr>
        <w:t>请详细说明售后服务的内容和维保方案以及维保期后续保方案及费用。</w:t>
      </w:r>
    </w:p>
    <w:p>
      <w:pPr>
        <w:pStyle w:val="9"/>
        <w:pageBreakBefore w:val="0"/>
        <w:kinsoku/>
        <w:wordWrap/>
        <w:overflowPunct/>
        <w:topLinePunct w:val="0"/>
        <w:autoSpaceDE/>
        <w:autoSpaceDN/>
        <w:bidi w:val="0"/>
        <w:adjustRightInd/>
        <w:snapToGrid/>
        <w:spacing w:line="240" w:lineRule="auto"/>
        <w:jc w:val="left"/>
        <w:textAlignment w:val="auto"/>
        <w:rPr>
          <w:rFonts w:ascii="宋体" w:hAnsi="宋体" w:cs="宋体"/>
          <w:kern w:val="2"/>
          <w:sz w:val="24"/>
          <w:szCs w:val="24"/>
        </w:rPr>
      </w:pPr>
      <w:r>
        <w:rPr>
          <w:rFonts w:hint="eastAsia" w:ascii="宋体" w:hAnsi="宋体" w:cs="宋体"/>
          <w:kern w:val="2"/>
          <w:sz w:val="24"/>
          <w:szCs w:val="24"/>
        </w:rPr>
        <w:t>5.2安装调试要求：免费送货上门、安装调试、提供完善的设备及软件系统使用中文操作手册、图纸、网络详细拓扑图、系统配置、功能配置、设备配置及互联记录；</w:t>
      </w:r>
    </w:p>
    <w:p>
      <w:pPr>
        <w:pStyle w:val="9"/>
        <w:pageBreakBefore w:val="0"/>
        <w:kinsoku/>
        <w:wordWrap/>
        <w:overflowPunct/>
        <w:topLinePunct w:val="0"/>
        <w:autoSpaceDE/>
        <w:autoSpaceDN/>
        <w:bidi w:val="0"/>
        <w:adjustRightInd/>
        <w:snapToGrid/>
        <w:spacing w:line="240" w:lineRule="auto"/>
        <w:jc w:val="left"/>
        <w:textAlignment w:val="auto"/>
        <w:rPr>
          <w:rFonts w:ascii="宋体" w:hAnsi="宋体" w:cs="宋体"/>
          <w:kern w:val="2"/>
          <w:sz w:val="24"/>
          <w:szCs w:val="24"/>
        </w:rPr>
      </w:pPr>
      <w:r>
        <w:rPr>
          <w:rFonts w:hint="eastAsia" w:ascii="宋体" w:hAnsi="宋体" w:cs="宋体"/>
          <w:kern w:val="2"/>
          <w:sz w:val="24"/>
          <w:szCs w:val="24"/>
        </w:rPr>
        <w:t>5.3原厂技术人员免费提供售后服务，含电话支持、现场响应、远程操作、网上客服中心等多种方式服务，应做到7×24小时全天候电话或微信等常用联系方式响应。</w:t>
      </w:r>
      <w:bookmarkStart w:id="1" w:name="_Toc507405798"/>
      <w:r>
        <w:rPr>
          <w:rFonts w:hint="eastAsia" w:ascii="宋体" w:hAnsi="宋体" w:cs="宋体"/>
          <w:kern w:val="2"/>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pPr>
        <w:pageBreakBefore w:val="0"/>
        <w:kinsoku/>
        <w:wordWrap/>
        <w:overflowPunct/>
        <w:topLinePunct w:val="0"/>
        <w:autoSpaceDE/>
        <w:autoSpaceDN/>
        <w:bidi w:val="0"/>
        <w:adjustRightInd/>
        <w:snapToGrid/>
        <w:spacing w:line="240" w:lineRule="auto"/>
        <w:ind w:firstLine="420"/>
        <w:jc w:val="left"/>
        <w:textAlignment w:val="auto"/>
        <w:rPr>
          <w:rFonts w:ascii="宋体" w:hAnsi="宋体" w:cs="宋体"/>
          <w:sz w:val="24"/>
          <w:szCs w:val="24"/>
        </w:rPr>
      </w:pPr>
      <w:r>
        <w:rPr>
          <w:rFonts w:hint="eastAsia" w:ascii="宋体" w:hAnsi="宋体" w:eastAsia="宋体" w:cs="微软雅黑"/>
          <w:sz w:val="24"/>
          <w:szCs w:val="24"/>
        </w:rPr>
        <w:t>5.4</w:t>
      </w:r>
      <w:r>
        <w:rPr>
          <w:rFonts w:hint="eastAsia" w:ascii="宋体" w:hAnsi="宋体" w:cs="宋体"/>
          <w:sz w:val="24"/>
          <w:szCs w:val="24"/>
        </w:rPr>
        <w:t>供应商提供原厂技术人员定期回访服务，定期通过电话或其他方式访问用户，了解产品使用情况及网络安全情况，须在每季度第一个月进行一次现场巡检，并形成书面巡检服务报告，加盖有效公章并反馈给我院（要求提供巡检报告模板，内容涉及此项目相关设备的运行情况及现场巡检照片）</w:t>
      </w:r>
      <w:r>
        <w:rPr>
          <w:rFonts w:hint="eastAsia" w:ascii="宋体" w:hAnsi="宋体" w:cs="宋体"/>
          <w:sz w:val="24"/>
          <w:szCs w:val="24"/>
          <w:lang w:eastAsia="zh-CN"/>
        </w:rPr>
        <w:t>，</w:t>
      </w:r>
      <w:r>
        <w:rPr>
          <w:rFonts w:hint="eastAsia" w:ascii="宋体" w:hAnsi="宋体" w:cs="宋体"/>
          <w:sz w:val="24"/>
          <w:szCs w:val="24"/>
          <w:lang w:val="en-US" w:eastAsia="zh-CN"/>
        </w:rPr>
        <w:t>软件产品需要每年进行一次服务器或者服务的巡检</w:t>
      </w:r>
      <w:r>
        <w:rPr>
          <w:rFonts w:hint="eastAsia" w:ascii="宋体" w:hAnsi="宋体" w:cs="宋体"/>
          <w:sz w:val="24"/>
          <w:szCs w:val="24"/>
        </w:rPr>
        <w:t>。</w:t>
      </w:r>
    </w:p>
    <w:p>
      <w:pPr>
        <w:pStyle w:val="2"/>
        <w:pageBreakBefore w:val="0"/>
        <w:kinsoku/>
        <w:wordWrap/>
        <w:overflowPunct/>
        <w:topLinePunct w:val="0"/>
        <w:autoSpaceDE/>
        <w:autoSpaceDN/>
        <w:bidi w:val="0"/>
        <w:adjustRightInd/>
        <w:snapToGrid/>
        <w:spacing w:line="240" w:lineRule="auto"/>
        <w:textAlignment w:val="auto"/>
        <w:rPr>
          <w:rFonts w:hint="eastAsia" w:ascii="宋体" w:hAnsi="宋体" w:cs="宋体"/>
          <w:kern w:val="2"/>
          <w:sz w:val="24"/>
          <w:lang w:val="en-US"/>
        </w:rPr>
      </w:pPr>
      <w:r>
        <w:rPr>
          <w:rFonts w:ascii="宋体" w:hAnsi="宋体" w:cs="宋体"/>
          <w:kern w:val="2"/>
          <w:sz w:val="24"/>
          <w:lang w:val="en-US"/>
        </w:rPr>
        <w:tab/>
      </w:r>
      <w:r>
        <w:rPr>
          <w:rFonts w:ascii="宋体" w:hAnsi="宋体" w:cs="宋体"/>
          <w:kern w:val="2"/>
          <w:sz w:val="24"/>
          <w:lang w:val="en-US"/>
        </w:rPr>
        <w:t>5.5</w:t>
      </w:r>
      <w:r>
        <w:rPr>
          <w:rFonts w:hint="eastAsia" w:ascii="宋体" w:hAnsi="宋体" w:cs="宋体"/>
          <w:kern w:val="2"/>
          <w:sz w:val="24"/>
          <w:lang w:val="en-US"/>
        </w:rPr>
        <w:t>供应商提供的</w:t>
      </w:r>
      <w:r>
        <w:rPr>
          <w:rFonts w:ascii="宋体" w:hAnsi="宋体" w:cs="宋体"/>
          <w:kern w:val="2"/>
          <w:sz w:val="24"/>
          <w:lang w:val="en-US"/>
        </w:rPr>
        <w:t>任何软件、硬件</w:t>
      </w:r>
      <w:r>
        <w:rPr>
          <w:rFonts w:hint="eastAsia" w:ascii="宋体" w:hAnsi="宋体" w:cs="宋体"/>
          <w:kern w:val="2"/>
          <w:sz w:val="24"/>
          <w:lang w:val="en-US"/>
        </w:rPr>
        <w:t>及</w:t>
      </w:r>
      <w:r>
        <w:rPr>
          <w:rFonts w:ascii="宋体" w:hAnsi="宋体" w:cs="宋体"/>
          <w:kern w:val="2"/>
          <w:sz w:val="24"/>
          <w:lang w:val="en-US"/>
        </w:rPr>
        <w:t>系统都不能设置</w:t>
      </w:r>
      <w:r>
        <w:rPr>
          <w:rFonts w:hint="eastAsia" w:ascii="宋体" w:hAnsi="宋体" w:cs="宋体"/>
          <w:kern w:val="2"/>
          <w:sz w:val="24"/>
          <w:lang w:val="en-US"/>
        </w:rPr>
        <w:t>任何</w:t>
      </w:r>
      <w:r>
        <w:rPr>
          <w:rFonts w:ascii="宋体" w:hAnsi="宋体" w:cs="宋体"/>
          <w:kern w:val="2"/>
          <w:sz w:val="24"/>
          <w:lang w:val="en-US"/>
        </w:rPr>
        <w:t>形式的加密狗</w:t>
      </w:r>
      <w:r>
        <w:rPr>
          <w:rFonts w:hint="eastAsia" w:ascii="宋体" w:hAnsi="宋体" w:cs="宋体"/>
          <w:kern w:val="2"/>
          <w:sz w:val="24"/>
          <w:lang w:val="en-US"/>
        </w:rPr>
        <w:t>、</w:t>
      </w:r>
      <w:r>
        <w:rPr>
          <w:rFonts w:ascii="宋体" w:hAnsi="宋体" w:cs="宋体"/>
          <w:kern w:val="2"/>
          <w:sz w:val="24"/>
          <w:lang w:val="en-US"/>
        </w:rPr>
        <w:t>加密软件</w:t>
      </w:r>
      <w:r>
        <w:rPr>
          <w:rFonts w:hint="eastAsia" w:ascii="宋体" w:hAnsi="宋体" w:cs="宋体"/>
          <w:kern w:val="2"/>
          <w:sz w:val="24"/>
          <w:lang w:val="en-US"/>
        </w:rPr>
        <w:t>，</w:t>
      </w:r>
      <w:r>
        <w:rPr>
          <w:rFonts w:ascii="宋体" w:hAnsi="宋体" w:cs="宋体"/>
          <w:kern w:val="2"/>
          <w:sz w:val="24"/>
          <w:lang w:val="en-US"/>
        </w:rPr>
        <w:t>如有</w:t>
      </w:r>
      <w:r>
        <w:rPr>
          <w:rFonts w:hint="eastAsia" w:ascii="宋体" w:hAnsi="宋体" w:cs="宋体"/>
          <w:kern w:val="2"/>
          <w:sz w:val="24"/>
          <w:lang w:val="en-US"/>
        </w:rPr>
        <w:t>特殊</w:t>
      </w:r>
      <w:r>
        <w:rPr>
          <w:rFonts w:ascii="宋体" w:hAnsi="宋体" w:cs="宋体"/>
          <w:kern w:val="2"/>
          <w:sz w:val="24"/>
          <w:lang w:val="en-US"/>
        </w:rPr>
        <w:t>需要</w:t>
      </w:r>
      <w:r>
        <w:rPr>
          <w:rFonts w:hint="eastAsia" w:ascii="宋体" w:hAnsi="宋体" w:cs="宋体"/>
          <w:kern w:val="2"/>
          <w:sz w:val="24"/>
          <w:lang w:val="en-US"/>
        </w:rPr>
        <w:t>必须提交</w:t>
      </w:r>
      <w:r>
        <w:rPr>
          <w:rFonts w:ascii="宋体" w:hAnsi="宋体" w:cs="宋体"/>
          <w:kern w:val="2"/>
          <w:sz w:val="24"/>
          <w:lang w:val="en-US"/>
        </w:rPr>
        <w:t>纸质</w:t>
      </w:r>
      <w:r>
        <w:rPr>
          <w:rFonts w:hint="eastAsia" w:ascii="宋体" w:hAnsi="宋体" w:cs="宋体"/>
          <w:kern w:val="2"/>
          <w:sz w:val="24"/>
          <w:lang w:val="en-US"/>
        </w:rPr>
        <w:t>文件说明</w:t>
      </w:r>
      <w:r>
        <w:rPr>
          <w:rFonts w:ascii="宋体" w:hAnsi="宋体" w:cs="宋体"/>
          <w:kern w:val="2"/>
          <w:sz w:val="24"/>
          <w:lang w:val="en-US"/>
        </w:rPr>
        <w:t>，经过我院</w:t>
      </w:r>
      <w:r>
        <w:rPr>
          <w:rFonts w:hint="eastAsia" w:ascii="宋体" w:hAnsi="宋体" w:cs="宋体"/>
          <w:kern w:val="2"/>
          <w:sz w:val="24"/>
          <w:lang w:val="en-US"/>
        </w:rPr>
        <w:t>签字同意</w:t>
      </w:r>
      <w:r>
        <w:rPr>
          <w:rFonts w:ascii="宋体" w:hAnsi="宋体" w:cs="宋体"/>
          <w:kern w:val="2"/>
          <w:sz w:val="24"/>
          <w:lang w:val="en-US"/>
        </w:rPr>
        <w:t>才可设置</w:t>
      </w:r>
      <w:r>
        <w:rPr>
          <w:rFonts w:hint="eastAsia" w:ascii="宋体" w:hAnsi="宋体" w:cs="宋体"/>
          <w:kern w:val="2"/>
          <w:sz w:val="24"/>
          <w:lang w:val="en-US"/>
        </w:rPr>
        <w:t>。</w:t>
      </w:r>
    </w:p>
    <w:p>
      <w:pPr>
        <w:pStyle w:val="2"/>
        <w:pageBreakBefore w:val="0"/>
        <w:numPr>
          <w:ilvl w:val="0"/>
          <w:numId w:val="1"/>
        </w:numPr>
        <w:kinsoku/>
        <w:wordWrap/>
        <w:overflowPunct/>
        <w:topLinePunct w:val="0"/>
        <w:autoSpaceDE/>
        <w:autoSpaceDN/>
        <w:bidi w:val="0"/>
        <w:adjustRightInd/>
        <w:snapToGrid/>
        <w:spacing w:after="0" w:line="240" w:lineRule="auto"/>
        <w:ind w:left="0" w:leftChars="0" w:firstLine="562" w:firstLineChars="200"/>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rPr>
        <w:t>违约责任</w:t>
      </w:r>
    </w:p>
    <w:p>
      <w:pPr>
        <w:pageBreakBefore w:val="0"/>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6.1投标方所提供的货物规格、技术标准、材料等质量不合格的，应及时更换，更换不及时的按逾期交货处罚；因质量问题我院不同意接收，投标方应向我院支付违约货款额5%违约金并赔偿我院经济损失。</w:t>
      </w:r>
    </w:p>
    <w:p>
      <w:pPr>
        <w:pageBreakBefore w:val="0"/>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6.2投标方提供的系统如侵犯了第三方合法权益而引发的任何纠纷或诉讼，均由投标方负责交涉并承担全部责任。</w:t>
      </w:r>
    </w:p>
    <w:p>
      <w:pPr>
        <w:pageBreakBefore w:val="0"/>
        <w:kinsoku/>
        <w:wordWrap/>
        <w:overflowPunct/>
        <w:topLinePunct w:val="0"/>
        <w:autoSpaceDE/>
        <w:autoSpaceDN/>
        <w:bidi w:val="0"/>
        <w:adjustRightInd/>
        <w:snapToGrid/>
        <w:spacing w:line="240" w:lineRule="auto"/>
        <w:ind w:firstLine="42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6.3因包装、运输引起的货物损坏，按质量不合格处理。设备安装、调试完成之日起三个月内为设备质保期，在质保期期间若出现设备硬件故障或损坏的情况，我院有权要求投标方更换同等型号和配置的新设备，设备换新、安装、调试产生的所有费用由投标方承担。</w:t>
      </w:r>
    </w:p>
    <w:p>
      <w:pPr>
        <w:pStyle w:val="2"/>
        <w:pageBreakBefore w:val="0"/>
        <w:kinsoku/>
        <w:wordWrap/>
        <w:overflowPunct/>
        <w:topLinePunct w:val="0"/>
        <w:autoSpaceDE/>
        <w:autoSpaceDN/>
        <w:bidi w:val="0"/>
        <w:adjustRightInd/>
        <w:snapToGrid/>
        <w:spacing w:line="240"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6.4</w:t>
      </w:r>
      <w:r>
        <w:rPr>
          <w:rFonts w:hint="eastAsia" w:ascii="宋体" w:hAnsi="宋体" w:eastAsia="宋体" w:cs="宋体"/>
          <w:color w:val="auto"/>
          <w:sz w:val="24"/>
        </w:rPr>
        <w:t> 投标方逾期交货的，每天向</w:t>
      </w:r>
      <w:r>
        <w:rPr>
          <w:rFonts w:hint="eastAsia" w:ascii="宋体" w:hAnsi="宋体" w:eastAsia="宋体" w:cs="宋体"/>
          <w:color w:val="auto"/>
          <w:sz w:val="24"/>
          <w:lang w:eastAsia="zh-CN"/>
        </w:rPr>
        <w:t>甲方</w:t>
      </w:r>
      <w:r>
        <w:rPr>
          <w:rFonts w:hint="eastAsia" w:ascii="宋体" w:hAnsi="宋体" w:eastAsia="宋体" w:cs="宋体"/>
          <w:color w:val="auto"/>
          <w:sz w:val="24"/>
        </w:rPr>
        <w:t>偿付违约货款额3‰违约金，但违约金累计不得超过违约货款额 5% ，超过30天对方有权解除合同，违约方承担因此给对方造成的经济损失；</w:t>
      </w:r>
    </w:p>
    <w:p>
      <w:pPr>
        <w:pStyle w:val="2"/>
        <w:pageBreakBefore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rPr>
        <w:t>6.5售后服务违约</w:t>
      </w:r>
      <w:r>
        <w:rPr>
          <w:rFonts w:hint="eastAsia" w:ascii="宋体" w:hAnsi="宋体" w:eastAsia="宋体" w:cs="宋体"/>
          <w:color w:val="auto"/>
          <w:sz w:val="24"/>
          <w:lang w:val="en-US" w:eastAsia="zh-CN"/>
        </w:rPr>
        <w:t>：</w:t>
      </w:r>
    </w:p>
    <w:p>
      <w:pPr>
        <w:pStyle w:val="2"/>
        <w:pageBreakBefore w:val="0"/>
        <w:kinsoku/>
        <w:wordWrap/>
        <w:overflowPunct/>
        <w:topLinePunct w:val="0"/>
        <w:autoSpaceDE/>
        <w:autoSpaceDN/>
        <w:bidi w:val="0"/>
        <w:adjustRightInd/>
        <w:snapToGrid/>
        <w:spacing w:line="240"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6.5.1每缺少1次现场巡检记录，投标方应向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支付违约金5000元；</w:t>
      </w:r>
    </w:p>
    <w:p>
      <w:pPr>
        <w:pStyle w:val="2"/>
        <w:pageBreakBefore w:val="0"/>
        <w:kinsoku/>
        <w:wordWrap/>
        <w:overflowPunct/>
        <w:topLinePunct w:val="0"/>
        <w:autoSpaceDE/>
        <w:autoSpaceDN/>
        <w:bidi w:val="0"/>
        <w:adjustRightInd/>
        <w:snapToGrid/>
        <w:spacing w:line="240"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6.5.2不能按本</w:t>
      </w:r>
      <w:r>
        <w:rPr>
          <w:rFonts w:hint="eastAsia" w:ascii="宋体" w:hAnsi="宋体" w:eastAsia="宋体" w:cs="宋体"/>
          <w:color w:val="auto"/>
          <w:sz w:val="24"/>
          <w:lang w:val="en-US" w:eastAsia="zh-CN"/>
        </w:rPr>
        <w:t>技术参数文档</w:t>
      </w:r>
      <w:r>
        <w:rPr>
          <w:rFonts w:hint="eastAsia" w:ascii="宋体" w:hAnsi="宋体" w:eastAsia="宋体" w:cs="宋体"/>
          <w:color w:val="auto"/>
          <w:sz w:val="24"/>
          <w:lang w:val="en-US"/>
        </w:rPr>
        <w:t>第5.3要求中按时提供设备备件的，故障上报24小时不能免费提供同档次或更高档次的备用设备解决问题，每超期一天，按500元/天</w:t>
      </w:r>
      <w:r>
        <w:rPr>
          <w:rFonts w:hint="eastAsia" w:ascii="宋体" w:hAnsi="宋体" w:eastAsia="宋体" w:cs="宋体"/>
          <w:color w:val="auto"/>
          <w:sz w:val="24"/>
          <w:lang w:val="en-US" w:eastAsia="zh-CN"/>
        </w:rPr>
        <w:t>向甲方</w:t>
      </w:r>
      <w:r>
        <w:rPr>
          <w:rFonts w:hint="eastAsia" w:ascii="宋体" w:hAnsi="宋体" w:eastAsia="宋体" w:cs="宋体"/>
          <w:color w:val="auto"/>
          <w:sz w:val="24"/>
          <w:lang w:val="en-US"/>
        </w:rPr>
        <w:t>支付违约金；</w:t>
      </w:r>
    </w:p>
    <w:p>
      <w:pPr>
        <w:pStyle w:val="2"/>
        <w:pageBreakBefore w:val="0"/>
        <w:kinsoku/>
        <w:wordWrap/>
        <w:overflowPunct/>
        <w:topLinePunct w:val="0"/>
        <w:autoSpaceDE/>
        <w:autoSpaceDN/>
        <w:bidi w:val="0"/>
        <w:adjustRightInd/>
        <w:snapToGrid/>
        <w:spacing w:line="240"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6.5.3 投标方未按本技术要求和响应文件中规定的其他服务承诺提供售后服务的，每次投标方应按合同合计金额的5% 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w:t>
      </w:r>
    </w:p>
    <w:p>
      <w:pPr>
        <w:pStyle w:val="2"/>
        <w:pageBreakBefore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rPr>
        <w:t>6.6合同签订后7个工作日内进场实施，每个模块计划实施周期需在合同内写明。因</w:t>
      </w:r>
      <w:r>
        <w:rPr>
          <w:rFonts w:hint="eastAsia" w:ascii="宋体" w:hAnsi="宋体" w:eastAsia="宋体" w:cs="宋体"/>
          <w:color w:val="auto"/>
          <w:sz w:val="24"/>
          <w:lang w:eastAsia="zh-CN"/>
        </w:rPr>
        <w:t>软件提供商</w:t>
      </w:r>
      <w:r>
        <w:rPr>
          <w:rFonts w:hint="eastAsia" w:ascii="宋体" w:hAnsi="宋体" w:eastAsia="宋体" w:cs="宋体"/>
          <w:color w:val="auto"/>
          <w:sz w:val="24"/>
        </w:rPr>
        <w:t>原因逾期不进场实施的，需按每天向院方支付合同款金额3‰作为违约金</w:t>
      </w:r>
      <w:r>
        <w:rPr>
          <w:rFonts w:hint="eastAsia" w:ascii="宋体" w:hAnsi="宋体" w:eastAsia="宋体" w:cs="宋体"/>
          <w:color w:val="auto"/>
          <w:sz w:val="24"/>
          <w:lang w:eastAsia="zh-CN"/>
        </w:rPr>
        <w:t>，</w:t>
      </w:r>
      <w:r>
        <w:rPr>
          <w:rFonts w:hint="eastAsia" w:ascii="宋体" w:hAnsi="宋体" w:eastAsia="宋体" w:cs="宋体"/>
          <w:color w:val="auto"/>
          <w:sz w:val="24"/>
        </w:rPr>
        <w:t>超过30天，</w:t>
      </w:r>
      <w:r>
        <w:rPr>
          <w:rFonts w:hint="eastAsia" w:ascii="宋体" w:hAnsi="宋体" w:eastAsia="宋体" w:cs="宋体"/>
          <w:color w:val="auto"/>
          <w:sz w:val="24"/>
          <w:lang w:eastAsia="zh-CN"/>
        </w:rPr>
        <w:t>甲</w:t>
      </w:r>
      <w:r>
        <w:rPr>
          <w:rFonts w:hint="eastAsia" w:ascii="宋体" w:hAnsi="宋体" w:eastAsia="宋体" w:cs="宋体"/>
          <w:color w:val="auto"/>
          <w:sz w:val="24"/>
        </w:rPr>
        <w:t>有权解除合同，</w:t>
      </w:r>
      <w:r>
        <w:rPr>
          <w:rFonts w:hint="eastAsia" w:ascii="宋体" w:hAnsi="宋体" w:eastAsia="宋体" w:cs="宋体"/>
          <w:color w:val="auto"/>
          <w:sz w:val="24"/>
          <w:lang w:eastAsia="zh-CN"/>
        </w:rPr>
        <w:t>乙方</w:t>
      </w:r>
      <w:r>
        <w:rPr>
          <w:rFonts w:hint="eastAsia" w:ascii="宋体" w:hAnsi="宋体" w:eastAsia="宋体" w:cs="宋体"/>
          <w:color w:val="auto"/>
          <w:sz w:val="24"/>
        </w:rPr>
        <w:t>需承担因此给院方造成的经济损失；</w:t>
      </w:r>
      <w:r>
        <w:rPr>
          <w:rFonts w:hint="eastAsia" w:ascii="宋体" w:hAnsi="宋体" w:eastAsia="宋体" w:cs="宋体"/>
          <w:color w:val="auto"/>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w:t>
      </w:r>
      <w:r>
        <w:rPr>
          <w:rFonts w:hint="eastAsia" w:ascii="宋体" w:hAnsi="宋体" w:eastAsia="宋体" w:cs="宋体"/>
          <w:color w:val="auto"/>
          <w:sz w:val="24"/>
          <w:lang w:val="en-US" w:eastAsia="zh-CN"/>
        </w:rPr>
        <w:t>乙方</w:t>
      </w:r>
      <w:r>
        <w:rPr>
          <w:rFonts w:hint="eastAsia" w:ascii="宋体" w:hAnsi="宋体" w:eastAsia="宋体" w:cs="宋体"/>
          <w:color w:val="auto"/>
          <w:sz w:val="24"/>
          <w:lang w:val="en-US"/>
        </w:rPr>
        <w:t>违约，</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有权单方面解除合同，并要求</w:t>
      </w:r>
      <w:r>
        <w:rPr>
          <w:rFonts w:hint="eastAsia" w:ascii="宋体" w:hAnsi="宋体" w:eastAsia="宋体" w:cs="宋体"/>
          <w:color w:val="auto"/>
          <w:sz w:val="24"/>
          <w:lang w:val="en-US" w:eastAsia="zh-CN"/>
        </w:rPr>
        <w:t>乙方</w:t>
      </w:r>
      <w:r>
        <w:rPr>
          <w:rFonts w:hint="eastAsia" w:ascii="宋体" w:hAnsi="宋体" w:eastAsia="宋体" w:cs="宋体"/>
          <w:color w:val="auto"/>
          <w:sz w:val="24"/>
          <w:lang w:val="en-US"/>
        </w:rPr>
        <w:t>退回所有医院已支付款项，同时</w:t>
      </w:r>
      <w:r>
        <w:rPr>
          <w:rFonts w:hint="eastAsia" w:ascii="宋体" w:hAnsi="宋体" w:eastAsia="宋体" w:cs="宋体"/>
          <w:color w:val="auto"/>
          <w:sz w:val="24"/>
          <w:lang w:val="en-US" w:eastAsia="zh-CN"/>
        </w:rPr>
        <w:t>按</w:t>
      </w:r>
      <w:r>
        <w:rPr>
          <w:rFonts w:hint="eastAsia" w:ascii="宋体" w:hAnsi="宋体" w:eastAsia="宋体" w:cs="宋体"/>
          <w:color w:val="auto"/>
          <w:sz w:val="24"/>
          <w:lang w:val="en-US"/>
        </w:rPr>
        <w:t>合同总金额的20%做为违约金</w:t>
      </w:r>
      <w:r>
        <w:rPr>
          <w:rFonts w:hint="eastAsia" w:ascii="宋体" w:hAnsi="宋体" w:eastAsia="宋体" w:cs="宋体"/>
          <w:color w:val="auto"/>
          <w:sz w:val="24"/>
          <w:lang w:val="en-US" w:eastAsia="zh-CN"/>
        </w:rPr>
        <w:t>支付给甲方</w:t>
      </w:r>
      <w:r>
        <w:rPr>
          <w:rFonts w:hint="eastAsia" w:ascii="宋体" w:hAnsi="宋体" w:eastAsia="宋体" w:cs="宋体"/>
          <w:color w:val="auto"/>
          <w:sz w:val="24"/>
          <w:lang w:val="en-US"/>
        </w:rPr>
        <w:t>。</w:t>
      </w:r>
    </w:p>
    <w:p>
      <w:pPr>
        <w:pStyle w:val="2"/>
        <w:pageBreakBefore w:val="0"/>
        <w:kinsoku/>
        <w:wordWrap/>
        <w:overflowPunct/>
        <w:topLinePunct w:val="0"/>
        <w:autoSpaceDE/>
        <w:autoSpaceDN/>
        <w:bidi w:val="0"/>
        <w:adjustRightInd/>
        <w:snapToGrid/>
        <w:spacing w:line="240"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6.7任何一方违反本技术要求中“保密、廉洁条款”要求的，应承担相应的违约责任并赔偿由此造成的损失，损失累计金额超过合同款项的5%的，损失方同时有权终止合同并收回已付款项。</w:t>
      </w:r>
    </w:p>
    <w:p>
      <w:pPr>
        <w:pStyle w:val="2"/>
        <w:pageBreakBefore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6.</w:t>
      </w:r>
      <w:r>
        <w:rPr>
          <w:rFonts w:hint="eastAsia" w:ascii="宋体" w:hAnsi="宋体" w:eastAsia="宋体" w:cs="宋体"/>
          <w:color w:val="auto"/>
          <w:sz w:val="24"/>
          <w:lang w:val="en-US" w:eastAsia="zh-CN"/>
        </w:rPr>
        <w:t>8厂商</w:t>
      </w:r>
      <w:r>
        <w:rPr>
          <w:rFonts w:hint="eastAsia" w:ascii="宋体" w:hAnsi="宋体" w:eastAsia="宋体" w:cs="宋体"/>
          <w:color w:val="auto"/>
          <w:sz w:val="24"/>
          <w:lang w:val="en-US"/>
        </w:rPr>
        <w:t>方未按本技术要求和响应文件中规定的其他服务承诺提供售后服务的，按损失情况，每次应按合同合计金额的0.1‰-0.1%</w:t>
      </w:r>
      <w:r>
        <w:rPr>
          <w:rFonts w:hint="eastAsia" w:ascii="宋体" w:hAnsi="宋体" w:eastAsia="宋体" w:cs="宋体"/>
          <w:color w:val="auto"/>
          <w:sz w:val="24"/>
          <w:lang w:val="en-US" w:eastAsia="zh-CN"/>
        </w:rPr>
        <w:t>由乙方</w:t>
      </w:r>
      <w:r>
        <w:rPr>
          <w:rFonts w:hint="eastAsia" w:ascii="宋体" w:hAnsi="宋体" w:eastAsia="宋体" w:cs="宋体"/>
          <w:color w:val="auto"/>
          <w:sz w:val="24"/>
          <w:lang w:val="en-US"/>
        </w:rPr>
        <w:t>向甲方支付违约金，损失累计金额超过合同款项的5%的，损失方同时有权终止合同并收回已付款项。</w:t>
      </w:r>
    </w:p>
    <w:p>
      <w:pPr>
        <w:pStyle w:val="2"/>
        <w:pageBreakBefore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6.9厂商不得在提供的硬件及软件系统中设置包括且不限于如：软硬件加密狗，时间锁，授权码等可以限制硬件及软件系统正常运行的措施，否则视为乙方违约，乙方需要支付医院违约金500000元（伍拾万元），在此基础上医院有权要求乙方退回甲方已支付的所有款项。如对医院造成损失的，甲方有权要求乙方赔偿。</w:t>
      </w:r>
    </w:p>
    <w:p>
      <w:pPr>
        <w:pStyle w:val="2"/>
        <w:pageBreakBefore w:val="0"/>
        <w:kinsoku/>
        <w:wordWrap/>
        <w:overflowPunct/>
        <w:topLinePunct w:val="0"/>
        <w:autoSpaceDE/>
        <w:autoSpaceDN/>
        <w:bidi w:val="0"/>
        <w:adjustRightInd/>
        <w:snapToGrid/>
        <w:spacing w:line="240" w:lineRule="auto"/>
        <w:ind w:firstLine="42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6.10</w:t>
      </w:r>
      <w:r>
        <w:rPr>
          <w:rFonts w:hint="default" w:ascii="宋体" w:hAnsi="宋体" w:eastAsia="宋体" w:cs="宋体"/>
          <w:color w:val="auto"/>
          <w:kern w:val="2"/>
          <w:sz w:val="24"/>
          <w:szCs w:val="24"/>
          <w:lang w:val="en-US" w:eastAsia="zh-CN" w:bidi="ar-SA"/>
        </w:rPr>
        <w:t>厂商驻场工程师人员变更必须得到医院书面同意，否则视为</w:t>
      </w:r>
      <w:r>
        <w:rPr>
          <w:rFonts w:hint="eastAsia" w:ascii="宋体" w:hAnsi="宋体" w:eastAsia="宋体" w:cs="宋体"/>
          <w:color w:val="auto"/>
          <w:kern w:val="2"/>
          <w:sz w:val="24"/>
          <w:szCs w:val="24"/>
          <w:lang w:val="en-US" w:eastAsia="zh-CN" w:bidi="ar-SA"/>
        </w:rPr>
        <w:t>乙方</w:t>
      </w:r>
      <w:r>
        <w:rPr>
          <w:rFonts w:hint="default" w:ascii="宋体" w:hAnsi="宋体" w:eastAsia="宋体" w:cs="宋体"/>
          <w:color w:val="auto"/>
          <w:kern w:val="2"/>
          <w:sz w:val="24"/>
          <w:szCs w:val="24"/>
          <w:lang w:val="en-US" w:eastAsia="zh-CN" w:bidi="ar-SA"/>
        </w:rPr>
        <w:t>违约，</w:t>
      </w:r>
      <w:r>
        <w:rPr>
          <w:rFonts w:hint="eastAsia" w:ascii="宋体" w:hAnsi="宋体" w:eastAsia="宋体" w:cs="宋体"/>
          <w:color w:val="auto"/>
          <w:kern w:val="2"/>
          <w:sz w:val="24"/>
          <w:szCs w:val="24"/>
          <w:lang w:val="en-US" w:eastAsia="zh-CN" w:bidi="ar-SA"/>
        </w:rPr>
        <w:t>甲</w:t>
      </w:r>
      <w:r>
        <w:rPr>
          <w:rFonts w:hint="default" w:ascii="宋体" w:hAnsi="宋体" w:eastAsia="宋体" w:cs="宋体"/>
          <w:color w:val="auto"/>
          <w:kern w:val="2"/>
          <w:sz w:val="24"/>
          <w:szCs w:val="24"/>
          <w:lang w:val="en-US" w:eastAsia="zh-CN" w:bidi="ar-SA"/>
        </w:rPr>
        <w:t>方有权按500</w:t>
      </w:r>
      <w:r>
        <w:rPr>
          <w:rFonts w:hint="eastAsia" w:ascii="宋体" w:hAnsi="宋体" w:eastAsia="宋体" w:cs="宋体"/>
          <w:color w:val="auto"/>
          <w:kern w:val="2"/>
          <w:sz w:val="24"/>
          <w:szCs w:val="24"/>
          <w:lang w:val="en-US" w:eastAsia="zh-CN" w:bidi="ar-SA"/>
        </w:rPr>
        <w:t>0</w:t>
      </w:r>
      <w:r>
        <w:rPr>
          <w:rFonts w:hint="default" w:ascii="宋体" w:hAnsi="宋体" w:eastAsia="宋体" w:cs="宋体"/>
          <w:color w:val="auto"/>
          <w:kern w:val="2"/>
          <w:sz w:val="24"/>
          <w:szCs w:val="24"/>
          <w:lang w:val="en-US" w:eastAsia="zh-CN" w:bidi="ar-SA"/>
        </w:rPr>
        <w:t>0元/人/次从合同总款中扣除</w:t>
      </w:r>
      <w:r>
        <w:rPr>
          <w:rFonts w:hint="eastAsia" w:ascii="宋体" w:hAnsi="宋体" w:eastAsia="宋体" w:cs="宋体"/>
          <w:color w:val="auto"/>
          <w:kern w:val="2"/>
          <w:sz w:val="24"/>
          <w:szCs w:val="24"/>
          <w:lang w:val="en-US" w:eastAsia="zh-CN" w:bidi="ar-SA"/>
        </w:rPr>
        <w:t>。</w:t>
      </w:r>
    </w:p>
    <w:p>
      <w:pPr>
        <w:pStyle w:val="2"/>
        <w:pageBreakBefore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6.11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pPr>
        <w:pStyle w:val="2"/>
        <w:pageBreakBefore w:val="0"/>
        <w:numPr>
          <w:ilvl w:val="0"/>
          <w:numId w:val="1"/>
        </w:numPr>
        <w:kinsoku/>
        <w:wordWrap/>
        <w:overflowPunct/>
        <w:topLinePunct w:val="0"/>
        <w:autoSpaceDE/>
        <w:autoSpaceDN/>
        <w:bidi w:val="0"/>
        <w:adjustRightInd/>
        <w:snapToGrid/>
        <w:spacing w:line="240" w:lineRule="auto"/>
        <w:ind w:left="0" w:leftChars="0" w:firstLine="562" w:firstLineChars="200"/>
        <w:textAlignment w:val="auto"/>
        <w:rPr>
          <w:rFonts w:ascii="宋体" w:hAnsi="宋体" w:eastAsia="宋体" w:cs="宋体"/>
          <w:b/>
          <w:bCs/>
          <w:color w:val="auto"/>
          <w:sz w:val="28"/>
          <w:lang w:val="en-US"/>
        </w:rPr>
      </w:pPr>
      <w:bookmarkStart w:id="2" w:name="_Toc507405799"/>
      <w:bookmarkStart w:id="3" w:name="_Toc507405800"/>
      <w:r>
        <w:rPr>
          <w:rFonts w:hint="eastAsia" w:ascii="宋体" w:hAnsi="宋体" w:eastAsia="宋体" w:cs="宋体"/>
          <w:b/>
          <w:bCs/>
          <w:color w:val="auto"/>
          <w:sz w:val="28"/>
          <w:lang w:val="en-US"/>
        </w:rPr>
        <w:t>保密、廉洁协议</w:t>
      </w:r>
    </w:p>
    <w:p>
      <w:pPr>
        <w:pageBreakBefore w:val="0"/>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pageBreakBefore w:val="0"/>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7.2 双方不得以任何方式向第三方泄露本项目的软件技术、设计方案以及功能配置等内容。</w:t>
      </w:r>
    </w:p>
    <w:p>
      <w:pPr>
        <w:pageBreakBefore w:val="0"/>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7.3 不以任何方式向第三方泄露在本协议开发实施过程中获取的经济、技术、数据以及双方其他非公开的信息。</w:t>
      </w:r>
    </w:p>
    <w:p>
      <w:pPr>
        <w:pageBreakBefore w:val="0"/>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pageBreakBefore w:val="0"/>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7.5保密期限自本合同生效之日起永久有效，如乙方需解除保密协议需向甲方提出书面申请，双方协商同意签字确认后方可解除。</w:t>
      </w:r>
    </w:p>
    <w:p>
      <w:pPr>
        <w:pStyle w:val="2"/>
        <w:pageBreakBefore w:val="0"/>
        <w:kinsoku/>
        <w:wordWrap/>
        <w:overflowPunct/>
        <w:topLinePunct w:val="0"/>
        <w:autoSpaceDE/>
        <w:autoSpaceDN/>
        <w:bidi w:val="0"/>
        <w:adjustRightInd/>
        <w:snapToGrid/>
        <w:spacing w:line="240" w:lineRule="auto"/>
        <w:textAlignment w:val="auto"/>
        <w:rPr>
          <w:color w:val="auto"/>
          <w:lang w:val="en-US"/>
        </w:rPr>
      </w:pPr>
    </w:p>
    <w:p>
      <w:pPr>
        <w:pStyle w:val="2"/>
        <w:pageBreakBefore w:val="0"/>
        <w:numPr>
          <w:ilvl w:val="0"/>
          <w:numId w:val="1"/>
        </w:numPr>
        <w:kinsoku/>
        <w:wordWrap/>
        <w:overflowPunct/>
        <w:topLinePunct w:val="0"/>
        <w:autoSpaceDE/>
        <w:autoSpaceDN/>
        <w:bidi w:val="0"/>
        <w:adjustRightInd/>
        <w:snapToGrid/>
        <w:spacing w:line="240" w:lineRule="auto"/>
        <w:ind w:left="0" w:leftChars="0" w:firstLine="562" w:firstLineChars="200"/>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rPr>
        <w:t>报价</w:t>
      </w:r>
    </w:p>
    <w:p>
      <w:pPr>
        <w:pStyle w:val="2"/>
        <w:pageBreakBefore w:val="0"/>
        <w:kinsoku/>
        <w:wordWrap/>
        <w:overflowPunct/>
        <w:topLinePunct w:val="0"/>
        <w:autoSpaceDE/>
        <w:autoSpaceDN/>
        <w:bidi w:val="0"/>
        <w:adjustRightInd/>
        <w:snapToGrid/>
        <w:spacing w:line="240" w:lineRule="auto"/>
        <w:ind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竞标文件按系统模块报价，报价表价格包含系统软硬件费用、产品安装、调试实施、培训费用、产品升级费用，以及明示所有责任、义务和一切风险。</w:t>
      </w:r>
    </w:p>
    <w:p>
      <w:pPr>
        <w:pStyle w:val="2"/>
        <w:pageBreakBefore w:val="0"/>
        <w:kinsoku/>
        <w:wordWrap/>
        <w:overflowPunct/>
        <w:topLinePunct w:val="0"/>
        <w:autoSpaceDE/>
        <w:autoSpaceDN/>
        <w:bidi w:val="0"/>
        <w:adjustRightInd/>
        <w:snapToGrid/>
        <w:spacing w:line="240" w:lineRule="auto"/>
        <w:ind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竞标文件需提供维保期后续保报价。</w:t>
      </w:r>
    </w:p>
    <w:p>
      <w:pPr>
        <w:pStyle w:val="2"/>
        <w:pageBreakBefore w:val="0"/>
        <w:kinsoku/>
        <w:wordWrap/>
        <w:overflowPunct/>
        <w:topLinePunct w:val="0"/>
        <w:autoSpaceDE/>
        <w:autoSpaceDN/>
        <w:bidi w:val="0"/>
        <w:adjustRightInd/>
        <w:snapToGrid/>
        <w:spacing w:line="240" w:lineRule="auto"/>
        <w:ind w:firstLine="42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竞标文件需提供系统详细图文介绍。系统实施验收参照本技术文档及竞标文件提供的图文介绍为依据。</w:t>
      </w:r>
    </w:p>
    <w:p>
      <w:pPr>
        <w:pageBreakBefore w:val="0"/>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如项目功能二次开发内容涉及我院采购的第三方产品，则我院协调第三方产品开发商提供相关二次开发需要的接口和其他信息。请在标书内标明哪些功能的实现需要我院提供二次开发接口。</w:t>
      </w:r>
    </w:p>
    <w:p>
      <w:pPr>
        <w:pStyle w:val="3"/>
        <w:pageBreakBefore w:val="0"/>
        <w:numPr>
          <w:ilvl w:val="0"/>
          <w:numId w:val="1"/>
        </w:numPr>
        <w:kinsoku/>
        <w:wordWrap/>
        <w:overflowPunct/>
        <w:topLinePunct w:val="0"/>
        <w:autoSpaceDE/>
        <w:autoSpaceDN/>
        <w:bidi w:val="0"/>
        <w:adjustRightInd/>
        <w:snapToGrid/>
        <w:spacing w:before="312" w:beforeLines="100" w:line="240" w:lineRule="auto"/>
        <w:ind w:left="0" w:leftChars="0" w:firstLine="643" w:firstLineChars="200"/>
        <w:textAlignment w:val="auto"/>
        <w:rPr>
          <w:rFonts w:ascii="宋体" w:hAnsi="宋体"/>
          <w:bCs w:val="0"/>
          <w:sz w:val="32"/>
          <w:szCs w:val="32"/>
        </w:rPr>
      </w:pPr>
      <w:r>
        <w:rPr>
          <w:rFonts w:hint="eastAsia" w:ascii="宋体" w:hAnsi="宋体"/>
          <w:bCs w:val="0"/>
          <w:sz w:val="32"/>
          <w:szCs w:val="32"/>
        </w:rPr>
        <w:t>付款方式</w:t>
      </w:r>
      <w:bookmarkEnd w:id="2"/>
    </w:p>
    <w:p>
      <w:pPr>
        <w:pageBreakBefore w:val="0"/>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微软雅黑"/>
          <w:sz w:val="24"/>
          <w:szCs w:val="24"/>
        </w:rPr>
      </w:pPr>
      <w:r>
        <w:rPr>
          <w:rFonts w:hint="eastAsia" w:ascii="宋体" w:hAnsi="宋体" w:eastAsia="宋体" w:cs="微软雅黑"/>
          <w:sz w:val="24"/>
          <w:szCs w:val="24"/>
        </w:rPr>
        <w:t>项目双方签订合同，公司进场进行项目实施1个月后，用户支付合同款项的30%；合同中的模块实施完毕，上线稳定运行3个月后，启动验收，验收合格后付合同款项的60%，自验收合格之日起，1年后付10%。</w:t>
      </w:r>
    </w:p>
    <w:bookmarkEnd w:id="3"/>
    <w:p>
      <w:pPr>
        <w:pStyle w:val="2"/>
        <w:pageBreakBefore w:val="0"/>
        <w:kinsoku/>
        <w:wordWrap/>
        <w:overflowPunct/>
        <w:topLinePunct w:val="0"/>
        <w:autoSpaceDE/>
        <w:autoSpaceDN/>
        <w:bidi w:val="0"/>
        <w:adjustRightInd/>
        <w:snapToGrid/>
        <w:spacing w:line="240" w:lineRule="auto"/>
        <w:textAlignment w:val="auto"/>
      </w:pPr>
    </w:p>
    <w:p>
      <w:pPr>
        <w:pStyle w:val="2"/>
        <w:pageBreakBefore w:val="0"/>
        <w:kinsoku/>
        <w:wordWrap/>
        <w:overflowPunct/>
        <w:topLinePunct w:val="0"/>
        <w:autoSpaceDE/>
        <w:autoSpaceDN/>
        <w:bidi w:val="0"/>
        <w:adjustRightInd/>
        <w:snapToGrid/>
        <w:spacing w:line="240" w:lineRule="auto"/>
        <w:textAlignment w:val="auto"/>
        <w:rPr>
          <w:sz w:val="2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宋体" w:hAnsi="宋体" w:eastAsia="宋体" w:cs="Times New Roman"/>
          <w:kern w:val="2"/>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1"/>
    <w:family w:val="auto"/>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utura Bk">
    <w:altName w:val="Arial"/>
    <w:panose1 w:val="00000000000000000000"/>
    <w:charset w:val="00"/>
    <w:family w:val="modern"/>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pingfang sc">
    <w:altName w:val="微软雅黑"/>
    <w:panose1 w:val="00000000000000000000"/>
    <w:charset w:val="86"/>
    <w:family w:val="auto"/>
    <w:pitch w:val="default"/>
    <w:sig w:usb0="00000000" w:usb1="00000000" w:usb2="00000017" w:usb3="00000000" w:csb0="00040001" w:csb1="00000000"/>
  </w:font>
  <w:font w:name="Helvetica Neue">
    <w:altName w:val="Segoe UI"/>
    <w:panose1 w:val="00000000000000000000"/>
    <w:charset w:val="00"/>
    <w:family w:val="auto"/>
    <w:pitch w:val="default"/>
    <w:sig w:usb0="00000000" w:usb1="00000000" w:usb2="00000010" w:usb3="00000000" w:csb0="00000000" w:csb1="00000000"/>
  </w:font>
  <w:font w:name="Segoe UI">
    <w:panose1 w:val="020B0502040204020203"/>
    <w:charset w:val="00"/>
    <w:family w:val="auto"/>
    <w:pitch w:val="default"/>
    <w:sig w:usb0="E4002EFF" w:usb1="C000E47F" w:usb2="00000009" w:usb3="00000000" w:csb0="200001FF"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00000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Noto Sans Symbols2">
    <w:altName w:val="NumberOnly"/>
    <w:panose1 w:val="020B0502040504020204"/>
    <w:charset w:val="00"/>
    <w:family w:val="auto"/>
    <w:pitch w:val="default"/>
    <w:sig w:usb0="00000000" w:usb1="00000000" w:usb2="00040020" w:usb3="0580A048" w:csb0="00000001" w:csb1="00000000"/>
  </w:font>
  <w:font w:name="汉仪仿宋KW">
    <w:altName w:val="仿宋"/>
    <w:panose1 w:val="00020600040101010101"/>
    <w:charset w:val="86"/>
    <w:family w:val="auto"/>
    <w:pitch w:val="default"/>
    <w:sig w:usb0="00000000" w:usb1="00000000" w:usb2="00000016" w:usb3="00000000" w:csb0="00040000" w:csb1="00000000"/>
  </w:font>
  <w:font w:name="汉仪中等线KW">
    <w:altName w:val="宋体"/>
    <w:panose1 w:val="01010104010101010101"/>
    <w:charset w:val="86"/>
    <w:family w:val="auto"/>
    <w:pitch w:val="default"/>
    <w:sig w:usb0="00000000" w:usb1="00000000" w:usb2="00000000" w:usb3="00000000" w:csb0="00040001" w:csb1="00000000"/>
  </w:font>
  <w:font w:name="汉仪楷体KW">
    <w:altName w:val="宋体"/>
    <w:panose1 w:val="00020600040101010101"/>
    <w:charset w:val="86"/>
    <w:family w:val="auto"/>
    <w:pitch w:val="default"/>
    <w:sig w:usb0="00000000" w:usb1="00000000" w:usb2="00000016" w:usb3="00000000" w:csb0="00040000" w:csb1="00000000"/>
  </w:font>
  <w:font w:name="DejaVa Sans">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umberOnly">
    <w:panose1 w:val="020B0500000000000000"/>
    <w:charset w:val="00"/>
    <w:family w:val="auto"/>
    <w:pitch w:val="default"/>
    <w:sig w:usb0="8000002F" w:usb1="10000048" w:usb2="00000000" w:usb3="00000000" w:csb0="0000011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155C6"/>
    <w:multiLevelType w:val="singleLevel"/>
    <w:tmpl w:val="623155C6"/>
    <w:lvl w:ilvl="0" w:tentative="0">
      <w:start w:val="1"/>
      <w:numFmt w:val="chineseCounting"/>
      <w:suff w:val="nothing"/>
      <w:lvlText w:val="%1、"/>
      <w:lvlJc w:val="left"/>
      <w:pPr>
        <w:ind w:left="0" w:leftChars="0" w:firstLine="42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5B41F4"/>
    <w:rsid w:val="143423B3"/>
    <w:rsid w:val="17975924"/>
    <w:rsid w:val="234A12EF"/>
    <w:rsid w:val="41FA6D28"/>
    <w:rsid w:val="45A54370"/>
    <w:rsid w:val="500D7DF0"/>
    <w:rsid w:val="5247332C"/>
    <w:rsid w:val="52624615"/>
    <w:rsid w:val="673C60B4"/>
    <w:rsid w:val="68391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uiPriority w:val="0"/>
    <w:pPr>
      <w:spacing w:after="120"/>
    </w:pPr>
    <w:rPr>
      <w:rFonts w:ascii="Times New Roman" w:hAnsi="Times New Roman"/>
      <w:kern w:val="0"/>
      <w:sz w:val="20"/>
      <w:szCs w:val="24"/>
      <w:lang w:val="zh-CN"/>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样式1"/>
    <w:basedOn w:val="3"/>
    <w:next w:val="1"/>
    <w:qFormat/>
    <w:uiPriority w:val="0"/>
    <w:pPr>
      <w:jc w:val="center"/>
    </w:pPr>
    <w:rPr>
      <w:rFonts w:asciiTheme="minorAscii" w:hAnsiTheme="minorAscii" w:eastAsiaTheme="majorEastAsia"/>
      <w:b w:val="0"/>
      <w:sz w:val="30"/>
    </w:rPr>
  </w:style>
  <w:style w:type="paragraph" w:customStyle="1" w:styleId="8">
    <w:name w:val="List Paragraph"/>
    <w:basedOn w:val="1"/>
    <w:qFormat/>
    <w:uiPriority w:val="34"/>
    <w:pPr>
      <w:ind w:firstLine="420" w:firstLineChars="200"/>
    </w:pPr>
  </w:style>
  <w:style w:type="paragraph" w:customStyle="1" w:styleId="9">
    <w:name w:val="p15"/>
    <w:basedOn w:val="1"/>
    <w:qFormat/>
    <w:uiPriority w:val="0"/>
    <w:pPr>
      <w:widowControl/>
      <w:ind w:firstLine="420"/>
    </w:pPr>
    <w:rPr>
      <w:kern w:val="0"/>
      <w:szCs w:val="21"/>
    </w:rPr>
  </w:style>
  <w:style w:type="paragraph" w:customStyle="1" w:styleId="10">
    <w:name w:val="msolist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customStyle="1" w:styleId="11">
    <w:name w:val="Table Paragraph"/>
    <w:basedOn w:val="1"/>
    <w:unhideWhenUsed/>
    <w:qFormat/>
    <w:uiPriority w:val="1"/>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yhw</dc:creator>
  <cp:lastModifiedBy>yhw</cp:lastModifiedBy>
  <dcterms:modified xsi:type="dcterms:W3CDTF">2022-05-10T11:57:38Z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