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rPr>
          <w:rFonts w:ascii="宋体" w:hAnsi="宋体" w:eastAsia="宋体" w:cs="微软雅黑"/>
          <w:b/>
          <w:bCs/>
          <w:kern w:val="44"/>
          <w:sz w:val="30"/>
          <w:szCs w:val="30"/>
        </w:rPr>
      </w:pPr>
      <w:bookmarkStart w:id="0" w:name="_Toc344816509"/>
      <w:r>
        <w:rPr>
          <w:rFonts w:hint="eastAsia" w:ascii="宋体" w:hAnsi="宋体" w:eastAsia="宋体" w:cs="微软雅黑"/>
          <w:b/>
          <w:bCs/>
          <w:kern w:val="44"/>
          <w:sz w:val="30"/>
          <w:szCs w:val="30"/>
        </w:rPr>
        <w:t>柳州市</w:t>
      </w:r>
      <w:r>
        <w:rPr>
          <w:rFonts w:ascii="宋体" w:hAnsi="宋体" w:eastAsia="宋体" w:cs="微软雅黑"/>
          <w:b/>
          <w:bCs/>
          <w:kern w:val="44"/>
          <w:sz w:val="30"/>
          <w:szCs w:val="30"/>
        </w:rPr>
        <w:t>工人医院</w:t>
      </w:r>
      <w:r>
        <w:rPr>
          <w:rFonts w:hint="eastAsia" w:ascii="宋体" w:hAnsi="宋体" w:eastAsia="宋体" w:cs="微软雅黑"/>
          <w:b/>
          <w:bCs/>
          <w:kern w:val="44"/>
          <w:sz w:val="30"/>
          <w:szCs w:val="30"/>
        </w:rPr>
        <w:t>基于人工智能的病历质控系统技术参数要求</w:t>
      </w:r>
    </w:p>
    <w:p>
      <w:pPr>
        <w:keepNext/>
        <w:keepLines/>
        <w:ind w:left="420" w:leftChars="200"/>
        <w:jc w:val="left"/>
        <w:rPr>
          <w:rFonts w:ascii="宋体" w:hAnsi="宋体" w:eastAsia="宋体" w:cs="微软雅黑"/>
          <w:b/>
          <w:bCs/>
          <w:kern w:val="44"/>
          <w:sz w:val="24"/>
          <w:szCs w:val="24"/>
        </w:rPr>
      </w:pPr>
    </w:p>
    <w:bookmarkEnd w:id="0"/>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项目背景</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病历是最原始的医疗文书且是“唯一”的医疗档案，是医疗保健科学和临床科学的重要档案资料。病历质量是医疗管理水平的主要标志，是衡量医疗和教学质量的重要依据之一。随着病案首页被纳入公立医院绩效考核后，病案首页数据质量将直接与医院绩效挂钩，所以病历质量的好坏直接影响各种检查和等级医院评审的成绩</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它在多方面起到举足轻重的作用。</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随着医院信息化的发展和随着国家对DRGs的推动，暴露了医院在病历质量管理上存在的相关问题：病历内容的雷同化现象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内涵质量有待提高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病历框架要素内容缺陷</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医生书写病案首页质量不高</w:t>
      </w:r>
      <w:r>
        <w:rPr>
          <w:rFonts w:hint="eastAsia" w:ascii="宋体" w:hAnsi="宋体" w:eastAsia="宋体" w:cs="宋体"/>
          <w:kern w:val="0"/>
          <w:sz w:val="21"/>
          <w:szCs w:val="21"/>
          <w:lang w:eastAsia="zh-CN"/>
        </w:rPr>
        <w:t>等问题</w:t>
      </w:r>
      <w:r>
        <w:rPr>
          <w:rFonts w:hint="eastAsia" w:ascii="宋体" w:hAnsi="宋体" w:eastAsia="宋体" w:cs="宋体"/>
          <w:kern w:val="0"/>
          <w:sz w:val="21"/>
          <w:szCs w:val="21"/>
        </w:rPr>
        <w:t>。</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rPr>
        <w:t>人工智能病历系统将按照顶层架构整体设计、分步实施、持续改进的总体策略来规划。完成全院病历智能质控系统的建设，包括形式质控、内涵质控、事中质控、缺陷问题在线交互、缺陷原文定位、病历在线审核、指标统计、规则配置、用户管理等内容的建设，实现全院病历病案数据智能质控，提高医务人员病历书写的规范性，从而提升全院的病历质量。</w:t>
      </w:r>
    </w:p>
    <w:p>
      <w:pPr>
        <w:spacing w:line="360" w:lineRule="auto"/>
        <w:rPr>
          <w:rFonts w:hint="eastAsia" w:ascii="宋体" w:hAnsi="宋体" w:eastAsia="宋体" w:cs="宋体"/>
          <w:sz w:val="21"/>
          <w:szCs w:val="21"/>
        </w:rPr>
      </w:pP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项目建设内容及要求</w:t>
      </w:r>
    </w:p>
    <w:tbl>
      <w:tblPr>
        <w:tblStyle w:val="8"/>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224"/>
        <w:gridCol w:w="180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序号</w:t>
            </w:r>
          </w:p>
        </w:tc>
        <w:tc>
          <w:tcPr>
            <w:tcW w:w="1224"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模块</w:t>
            </w:r>
          </w:p>
        </w:tc>
        <w:tc>
          <w:tcPr>
            <w:tcW w:w="1801"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功能</w:t>
            </w:r>
          </w:p>
        </w:tc>
        <w:tc>
          <w:tcPr>
            <w:tcW w:w="4615" w:type="dxa"/>
          </w:tcPr>
          <w:p>
            <w:pPr>
              <w:spacing w:line="360" w:lineRule="auto"/>
              <w:rPr>
                <w:rFonts w:hint="eastAsia" w:ascii="宋体" w:hAnsi="宋体" w:eastAsia="宋体" w:cs="宋体"/>
                <w:sz w:val="21"/>
                <w:szCs w:val="21"/>
              </w:rPr>
            </w:pPr>
            <w:r>
              <w:rPr>
                <w:rFonts w:hint="eastAsia" w:ascii="宋体" w:hAnsi="宋体" w:eastAsia="宋体" w:cs="宋体"/>
                <w:sz w:val="21"/>
                <w:szCs w:val="21"/>
              </w:rPr>
              <w:t>内涵描述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数据处理</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数据抽取</w:t>
            </w:r>
          </w:p>
        </w:tc>
        <w:tc>
          <w:tcPr>
            <w:tcW w:w="4615"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支持对接第三方临床业务系统数据，实现重点病历数据的抽取</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数据预处理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支持建立数据预处理和数据清洗体系，包含格式转换、去除冗余、数据填补、数据映射、不规范数据转换为标准化数据存储、数据纠正</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自然语言处理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提供以语义识别结合机器学习模型为基础的自然语言处理体系</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文档规范化处理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支持建立文档规范化处理体系。对于不规范病历相关文书，通过自然语言处理和特征识别，进行文档规范化整理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数据处理监控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支持建立建设数据加工处理监控平台，透明化监控从数据抽取、数据融合、后结构化处理以及标准化处理过程日志，实现数据一致性核查和异常处理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数据分析</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支持对抽取数据与质控数据进行分类、统计、分析，通过图表形式展示，支持导出</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病历形式质控</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事前质控提示</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书写形式质控，至少应包括对入院记录、首程、会诊记录、手术记录等所有病历中信息填写的完整性、一致性、及时性和合规性进行智能判断和自动评分，当病历内容存在缺失时，系统将主动提示质控缺陷并标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病历质控点</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系统应覆盖300余个病历质控点，至少应包括：首次病程、24小时谈话记录、入院记录、病程记录、知情同意书、手术管理、出院记录、辅助检查及医嘱等所有内容的书写一致性、完整性、时效性、合规性的主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病历及诊疗资料浏览</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病历文书：提供病历文书浏览和内容基本项目缺陷检查功能。应至少包括：患者入院记录、首次病程、出院小结、查房记录、手术记录等。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医嘱内容：提供医嘱内容浏览和项目检索功能。应至少包括：药品、检查、检验、手术等，其中药品应展示给药途径和给药剂量。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检查/检验：提供检查/检验结果浏览功能，重点标记检验异常项目。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患者信息：提供患者住院基本信息浏览功能。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诊断信息：提供患者的诊断信息查询。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手术信息：提供手术信息详情查看功能。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手术麻醉：提供手术麻醉类文书集成浏览功能。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终末病历质控</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自动评价：终末病历自动评价总体病历得分</w:t>
            </w:r>
            <w:r>
              <w:rPr>
                <w:rFonts w:hint="eastAsia" w:ascii="宋体" w:hAnsi="宋体" w:eastAsia="宋体" w:cs="宋体"/>
                <w:sz w:val="21"/>
                <w:szCs w:val="21"/>
                <w:lang w:eastAsia="zh-CN"/>
              </w:rPr>
              <w:t>、</w:t>
            </w:r>
            <w:r>
              <w:rPr>
                <w:rFonts w:hint="eastAsia" w:ascii="宋体" w:hAnsi="宋体" w:eastAsia="宋体" w:cs="宋体"/>
                <w:sz w:val="21"/>
                <w:szCs w:val="21"/>
              </w:rPr>
              <w:t>自动分析缺陷项目</w:t>
            </w:r>
            <w:r>
              <w:rPr>
                <w:rFonts w:hint="eastAsia" w:ascii="宋体" w:hAnsi="宋体" w:eastAsia="宋体" w:cs="宋体"/>
                <w:sz w:val="21"/>
                <w:szCs w:val="21"/>
                <w:lang w:eastAsia="zh-CN"/>
              </w:rPr>
              <w:t>、</w:t>
            </w:r>
            <w:r>
              <w:rPr>
                <w:rFonts w:hint="eastAsia" w:ascii="宋体" w:hAnsi="宋体" w:eastAsia="宋体" w:cs="宋体"/>
                <w:sz w:val="21"/>
                <w:szCs w:val="21"/>
              </w:rPr>
              <w:t>分值情况</w:t>
            </w:r>
            <w:r>
              <w:rPr>
                <w:rFonts w:hint="eastAsia" w:ascii="宋体" w:hAnsi="宋体" w:eastAsia="宋体" w:cs="宋体"/>
                <w:sz w:val="21"/>
                <w:szCs w:val="21"/>
                <w:lang w:eastAsia="zh-CN"/>
              </w:rPr>
              <w:t>、</w:t>
            </w:r>
            <w:r>
              <w:rPr>
                <w:rFonts w:hint="eastAsia" w:ascii="宋体" w:hAnsi="宋体" w:eastAsia="宋体" w:cs="宋体"/>
                <w:sz w:val="21"/>
                <w:szCs w:val="21"/>
              </w:rPr>
              <w:t>及病历质量分级，供病案室查阅确认及考核。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病历书写时限监控</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检查病历时效：</w:t>
            </w:r>
          </w:p>
          <w:p>
            <w:pPr>
              <w:numPr>
                <w:ilvl w:val="0"/>
                <w:numId w:val="3"/>
              </w:numPr>
              <w:spacing w:line="36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书写时限监控，按电子病历书写时限归档的16项要求，对患者病历时效进行检查</w:t>
            </w:r>
            <w:r>
              <w:rPr>
                <w:rFonts w:hint="eastAsia" w:ascii="宋体" w:hAnsi="宋体" w:eastAsia="宋体" w:cs="宋体"/>
                <w:sz w:val="21"/>
                <w:szCs w:val="21"/>
                <w:lang w:eastAsia="zh-CN"/>
              </w:rPr>
              <w:t>；</w:t>
            </w:r>
          </w:p>
          <w:p>
            <w:pPr>
              <w:numPr>
                <w:ilvl w:val="0"/>
                <w:numId w:val="3"/>
              </w:numPr>
              <w:spacing w:line="36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rPr>
              <w:t>全院时效检查详情，列出全院时效检查详细清单</w:t>
            </w:r>
            <w:r>
              <w:rPr>
                <w:rFonts w:hint="eastAsia" w:ascii="宋体" w:hAnsi="宋体" w:eastAsia="宋体" w:cs="宋体"/>
                <w:sz w:val="21"/>
                <w:szCs w:val="21"/>
                <w:lang w:eastAsia="zh-CN"/>
              </w:rPr>
              <w:t>；</w:t>
            </w:r>
          </w:p>
          <w:p>
            <w:pPr>
              <w:numPr>
                <w:ilvl w:val="0"/>
                <w:numId w:val="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全院时效超时统计，按病历文书类型进行时效超时率统计。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全过程质控管理</w:t>
            </w: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事前提醒：</w:t>
            </w:r>
          </w:p>
          <w:p>
            <w:pPr>
              <w:spacing w:line="360" w:lineRule="auto"/>
              <w:rPr>
                <w:rFonts w:hint="eastAsia" w:ascii="宋体" w:hAnsi="宋体" w:eastAsia="宋体" w:cs="宋体"/>
                <w:sz w:val="21"/>
                <w:szCs w:val="21"/>
              </w:rPr>
            </w:pPr>
            <w:r>
              <w:rPr>
                <w:rFonts w:hint="eastAsia" w:ascii="宋体" w:hAnsi="宋体" w:eastAsia="宋体" w:cs="宋体"/>
                <w:sz w:val="21"/>
                <w:szCs w:val="21"/>
              </w:rPr>
              <w:t>根据用户设置的时效质控规则、内容质控规则、逻辑质控规则，实时在线做干预提醒。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事中监控：</w:t>
            </w:r>
          </w:p>
          <w:p>
            <w:pPr>
              <w:spacing w:line="360" w:lineRule="auto"/>
              <w:rPr>
                <w:rFonts w:hint="eastAsia" w:ascii="宋体" w:hAnsi="宋体" w:eastAsia="宋体" w:cs="宋体"/>
                <w:sz w:val="21"/>
                <w:szCs w:val="21"/>
              </w:rPr>
            </w:pPr>
            <w:r>
              <w:rPr>
                <w:rFonts w:hint="eastAsia" w:ascii="宋体" w:hAnsi="宋体" w:eastAsia="宋体" w:cs="宋体"/>
                <w:sz w:val="21"/>
                <w:szCs w:val="21"/>
              </w:rPr>
              <w:t>支持医嘱、检查/检验、病历三者一致性质控检查；典型病历自动抽取进行环节质控。系统可主动单独抽取死亡病例、危重病例进行事中质控干预。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Merge w:val="continue"/>
            <w:vAlign w:val="center"/>
          </w:tcPr>
          <w:p>
            <w:pPr>
              <w:spacing w:line="360" w:lineRule="auto"/>
              <w:rPr>
                <w:rFonts w:hint="eastAsia" w:ascii="宋体" w:hAnsi="宋体" w:eastAsia="宋体" w:cs="宋体"/>
                <w:sz w:val="21"/>
                <w:szCs w:val="21"/>
              </w:rPr>
            </w:pPr>
          </w:p>
        </w:tc>
        <w:tc>
          <w:tcPr>
            <w:tcW w:w="4615"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病历自动评分：</w:t>
            </w:r>
          </w:p>
          <w:p>
            <w:pPr>
              <w:spacing w:line="360" w:lineRule="auto"/>
              <w:rPr>
                <w:rFonts w:hint="eastAsia" w:ascii="宋体" w:hAnsi="宋体" w:eastAsia="宋体" w:cs="宋体"/>
                <w:sz w:val="21"/>
                <w:szCs w:val="21"/>
              </w:rPr>
            </w:pPr>
            <w:r>
              <w:rPr>
                <w:rFonts w:hint="eastAsia" w:ascii="宋体" w:hAnsi="宋体" w:eastAsia="宋体" w:cs="宋体"/>
                <w:sz w:val="21"/>
                <w:szCs w:val="21"/>
              </w:rPr>
              <w:t>基于电子病历系统的结构化元素规则，实现自动（批量）病案评分功能，并支持人工质控。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3</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医生端AI预警</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智能浮窗</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支持在电子病历系统中外挂“智能浮窗程序”</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机器质控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支持对保存的病历进行机器质控，对所有病历中信息填写的完整性、一致性、及时性和合规性进行智能判断和自动评分，标识原因并实时提醒医生质控缺陷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整改申诉</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支持临床医生针对整改通知进行申诉，并可将申诉结果反馈质控端</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AI监控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支持实时监控全院病历数据，实时统计文书问题数据、科室问题数据等各类问题报表</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4</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环节质控</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问题反馈</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支持对在院、出院待归档的环节病历进行机器实时自动质控,向质控人员推送问题患者列表</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质控筛选</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支持质控时筛选目标病历，支持多条件筛选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详情查看</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支持查看各临床医师书写病历内容与问题详情</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病历整体浏览</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支持病历整体浏览，可查看运行病历的患者视图，包含：病案首页、入院记录、病程记录、检查检验报告等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人工质控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支持质控人员人工添加文书问题、修改分数、添加备注</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AI质控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支持查看机器质控详情，向质控人员提醒机器质控出的患者文书缺陷分类、缺陷明细、扣分值</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反馈统计</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支持对机器质控结果进行疑问反馈，支持反馈结果量化统计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环节监控数据统计与分析</w:t>
            </w:r>
          </w:p>
        </w:tc>
        <w:tc>
          <w:tcPr>
            <w:tcW w:w="4615" w:type="dxa"/>
            <w:vAlign w:val="center"/>
          </w:tcPr>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支持查看当前AI质控病历总数、质控科室数；</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支持查看全院病历的甲级病历、乙级病历和丙级病历的数量和占比；</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支持查看全院各科室病历问题数量、各科室病历数量、各科室病历问题数量、各科室病历问题占比；</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支持查看全院各文书问题排名，展示全院各文书问题数量；</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支持查看各医生病历问题数量，各医师总病历数量、书写文书中甲乙丙各级文书问题数量；</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支持查看全院环节监控出问题的明细，包含各科室甲乙丙问题病历量、问题患者详情；</w:t>
            </w:r>
          </w:p>
          <w:p>
            <w:pPr>
              <w:numPr>
                <w:ilvl w:val="0"/>
                <w:numId w:val="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支持查询环节监控各类型统计报表</w:t>
            </w:r>
            <w:r>
              <w:rPr>
                <w:rFonts w:hint="eastAsia" w:ascii="宋体" w:hAnsi="宋体" w:eastAsia="宋体" w:cs="宋体"/>
                <w:sz w:val="21"/>
                <w:szCs w:val="21"/>
                <w:lang w:eastAsia="zh-CN"/>
              </w:rPr>
              <w:t>；</w:t>
            </w:r>
          </w:p>
          <w:p>
            <w:pPr>
              <w:numPr>
                <w:ilvl w:val="0"/>
                <w:numId w:val="4"/>
              </w:numPr>
              <w:spacing w:line="360" w:lineRule="auto"/>
              <w:ind w:left="425" w:leftChars="0" w:hanging="425" w:firstLineChars="0"/>
              <w:rPr>
                <w:rFonts w:hint="eastAsia" w:ascii="宋体" w:hAnsi="宋体" w:eastAsia="宋体" w:cs="宋体"/>
                <w:sz w:val="21"/>
                <w:szCs w:val="21"/>
                <w:lang w:val="en-US"/>
              </w:rPr>
            </w:pPr>
            <w:r>
              <w:rPr>
                <w:rFonts w:hint="eastAsia" w:ascii="宋体" w:hAnsi="宋体" w:eastAsia="宋体" w:cs="宋体"/>
                <w:sz w:val="21"/>
                <w:szCs w:val="21"/>
                <w:lang w:val="en-US"/>
              </w:rPr>
              <w:t>支持环节监控各可视化图表的导出与下载</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5</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终末质控</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AI质控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支持对已归档的终末病历进行机器实时自动质控,向质控人员推送问题患者列表</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病历筛选</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支持针对死亡、手术、输血、会诊、高危、长期住院病例等重点关注病历进行筛选、推荐</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病历展示</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支持对核心制度相关重点病历分类进行机器自动质控，并支持对问题明细、扣分进行展示</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条件筛选</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支持质控时筛选目标病历，支持多条件筛选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查看问题</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支持查看各临床医师书写病历内容与问题详情</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病历整体浏览</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支持病历整体浏览，可查看运行病历的患者视图，包含：病案首页、入院记录、病程记录、检查检验报告等</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人工质控</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支持质控人员人工添加文书问题、修改分数、添加备注</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终末质控详情</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支持查看终末质控详情，向质控人员提醒机器质控出的患者文书缺陷分类、缺陷明细、扣分值</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反馈统计</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支持对机器质控结果进行疑问反馈，支持反馈结果量化统计</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终末质控数据统计与分析</w:t>
            </w:r>
          </w:p>
        </w:tc>
        <w:tc>
          <w:tcPr>
            <w:tcW w:w="4615" w:type="dxa"/>
            <w:vAlign w:val="center"/>
          </w:tcPr>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支持查看当前AI质控病历总数、质控科室数；</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支持查看全院病历的甲级病历、乙级病历和丙级病历的数量和占比；</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支持查看全院各科室病历问题数量、各科室病历数量、各科室病历问题数量、各科室病历问题占比；</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支持查看全院各文书问题排名，展示全院各文书问题数量；</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支持查看各医生病历问题数量，各医师总病历数量、书写文书中甲乙丙各级文书问题数量；</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支持查看全院环节监控出问题的明细，包含各科室甲乙丙问题病历量、问题患者详情；</w:t>
            </w:r>
          </w:p>
          <w:p>
            <w:pPr>
              <w:numPr>
                <w:ilvl w:val="0"/>
                <w:numId w:val="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支持查询环节监控各类型统计报表</w:t>
            </w:r>
            <w:r>
              <w:rPr>
                <w:rFonts w:hint="eastAsia" w:ascii="宋体" w:hAnsi="宋体" w:eastAsia="宋体" w:cs="宋体"/>
                <w:sz w:val="21"/>
                <w:szCs w:val="21"/>
                <w:lang w:eastAsia="zh-CN"/>
              </w:rPr>
              <w:t>；</w:t>
            </w:r>
          </w:p>
          <w:p>
            <w:pPr>
              <w:numPr>
                <w:ilvl w:val="0"/>
                <w:numId w:val="5"/>
              </w:numPr>
              <w:spacing w:line="360" w:lineRule="auto"/>
              <w:ind w:left="425" w:leftChars="0" w:hanging="425" w:firstLineChars="0"/>
              <w:rPr>
                <w:rFonts w:hint="eastAsia" w:ascii="宋体" w:hAnsi="宋体" w:eastAsia="宋体" w:cs="宋体"/>
                <w:sz w:val="21"/>
                <w:szCs w:val="21"/>
                <w:lang w:val="en-US"/>
              </w:rPr>
            </w:pPr>
            <w:r>
              <w:rPr>
                <w:rFonts w:hint="eastAsia" w:ascii="宋体" w:hAnsi="宋体" w:eastAsia="宋体" w:cs="宋体"/>
                <w:sz w:val="21"/>
                <w:szCs w:val="21"/>
                <w:lang w:val="en-US"/>
              </w:rPr>
              <w:t>支持环节监控各可视化图表的导出与下载</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6</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整改管理</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分类展示</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支持依据文书状态对患者列表进行分类</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整改通知</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Hans"/>
              </w:rPr>
              <w:t>支持质控人员对机器质控出的结果，人工审核后进行整改通知发送</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整改审核</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Hans"/>
              </w:rPr>
              <w:t>支持质控人员对发送的整改通知结果进行审批，包含对审核结果的管理</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整改反馈</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Hans"/>
              </w:rPr>
              <w:t>支持质控人员驳回临床整改结果，并将驳回的整改结果下发临床科室</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整改内容导出</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Hans"/>
              </w:rPr>
              <w:t>支持质控人员将整改内容导出</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7</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评分标准管理</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病历质量评分表对照</w:t>
            </w:r>
          </w:p>
        </w:tc>
        <w:tc>
          <w:tcPr>
            <w:tcW w:w="4615" w:type="dxa"/>
            <w:vAlign w:val="center"/>
          </w:tcPr>
          <w:p>
            <w:pPr>
              <w:numPr>
                <w:ilvl w:val="0"/>
                <w:numId w:val="6"/>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支持住院病历质量评分表在线下载功能；</w:t>
            </w:r>
          </w:p>
          <w:p>
            <w:pPr>
              <w:numPr>
                <w:ilvl w:val="0"/>
                <w:numId w:val="6"/>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支持自定义配置住院评分表采用版本、甲乙丙级病历计算方式及分数区间；</w:t>
            </w:r>
          </w:p>
          <w:p>
            <w:pPr>
              <w:numPr>
                <w:ilvl w:val="0"/>
                <w:numId w:val="6"/>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支持对于住院病历质量评分表的编辑修改功能，包括但不限于文书最大扣分；项目最大扣分、是否每项扣分、每项扣分分值等；</w:t>
            </w:r>
          </w:p>
          <w:p>
            <w:pPr>
              <w:numPr>
                <w:ilvl w:val="0"/>
                <w:numId w:val="6"/>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支持医院自定义导入个性化住院评表；</w:t>
            </w:r>
          </w:p>
          <w:p>
            <w:pPr>
              <w:numPr>
                <w:ilvl w:val="0"/>
                <w:numId w:val="6"/>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支持院内评分表与AI质控评分项的双向映射。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eastAsia="zh-Hans"/>
              </w:rPr>
              <w:t>评分项管理</w:t>
            </w:r>
          </w:p>
        </w:tc>
        <w:tc>
          <w:tcPr>
            <w:tcW w:w="4615" w:type="dxa"/>
            <w:vAlign w:val="center"/>
          </w:tcPr>
          <w:p>
            <w:pPr>
              <w:numPr>
                <w:ilvl w:val="0"/>
                <w:numId w:val="7"/>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支持展示AI质控全部评分项内容；</w:t>
            </w:r>
          </w:p>
          <w:p>
            <w:pPr>
              <w:numPr>
                <w:ilvl w:val="0"/>
                <w:numId w:val="7"/>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支持根据不同质控时间节点配置评分项，包括医生端、环节、终末；</w:t>
            </w:r>
          </w:p>
          <w:p>
            <w:pPr>
              <w:numPr>
                <w:ilvl w:val="0"/>
                <w:numId w:val="7"/>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支持医院根据实际情况设置评分项是否启用；</w:t>
            </w:r>
          </w:p>
          <w:p>
            <w:pPr>
              <w:numPr>
                <w:ilvl w:val="0"/>
                <w:numId w:val="7"/>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支持针对于不同科室配置专科评分项；</w:t>
            </w:r>
          </w:p>
          <w:p>
            <w:pPr>
              <w:numPr>
                <w:ilvl w:val="0"/>
                <w:numId w:val="7"/>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支持自定义设置单项否决、属性等评分项参数。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lang w:eastAsia="zh-Hans"/>
              </w:rPr>
              <w:t>评分项核验</w:t>
            </w:r>
          </w:p>
        </w:tc>
        <w:tc>
          <w:tcPr>
            <w:tcW w:w="4615" w:type="dxa"/>
            <w:vAlign w:val="center"/>
          </w:tcPr>
          <w:p>
            <w:pPr>
              <w:numPr>
                <w:ilvl w:val="0"/>
                <w:numId w:val="8"/>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支持按照时间范围、科室范围进行评分项核验；</w:t>
            </w:r>
          </w:p>
          <w:p>
            <w:pPr>
              <w:numPr>
                <w:ilvl w:val="0"/>
                <w:numId w:val="8"/>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支持可视化显示评分项是否适用医院质控要求；</w:t>
            </w:r>
          </w:p>
          <w:p>
            <w:pPr>
              <w:numPr>
                <w:ilvl w:val="0"/>
                <w:numId w:val="8"/>
              </w:numPr>
              <w:spacing w:line="360" w:lineRule="auto"/>
              <w:ind w:left="425" w:leftChars="0" w:hanging="425" w:firstLineChars="0"/>
              <w:rPr>
                <w:rFonts w:hint="eastAsia" w:ascii="宋体" w:hAnsi="宋体" w:eastAsia="宋体" w:cs="宋体"/>
                <w:sz w:val="21"/>
                <w:szCs w:val="21"/>
                <w:lang w:eastAsia="zh-Hans"/>
              </w:rPr>
            </w:pPr>
            <w:r>
              <w:rPr>
                <w:rFonts w:hint="eastAsia" w:ascii="宋体" w:hAnsi="宋体" w:eastAsia="宋体" w:cs="宋体"/>
                <w:sz w:val="21"/>
                <w:szCs w:val="21"/>
                <w:lang w:eastAsia="zh-Hans"/>
              </w:rPr>
              <w:t>支持查看不适用评分项详情内容</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8</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系统管理</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科室管理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增加、删除、修改科室，支持科室字典导入</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角色管理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增加、删除、修改角色，支持角色字典导入，设置相应角色权限</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账号管理</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增加、删除、修改账号，支持用户字典导入，维护账号密码，分配相应角色</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9</w:t>
            </w:r>
          </w:p>
        </w:tc>
        <w:tc>
          <w:tcPr>
            <w:tcW w:w="1224"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智能质控规则库</w:t>
            </w: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首页基础质控规则库</w:t>
            </w:r>
          </w:p>
        </w:tc>
        <w:tc>
          <w:tcPr>
            <w:tcW w:w="4615"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支持病案首页项目缺失、关联项目逻辑性等校验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文书重复规则库</w:t>
            </w:r>
          </w:p>
        </w:tc>
        <w:tc>
          <w:tcPr>
            <w:tcW w:w="4615" w:type="dxa"/>
            <w:vAlign w:val="center"/>
          </w:tcPr>
          <w:p>
            <w:pPr>
              <w:numPr>
                <w:ilvl w:val="0"/>
                <w:numId w:val="9"/>
              </w:numPr>
              <w:spacing w:line="360" w:lineRule="auto"/>
              <w:ind w:left="425" w:leftChars="0" w:hanging="425" w:firstLineChars="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支持不同文书之间各章节内容是否雷同</w:t>
            </w:r>
            <w:r>
              <w:rPr>
                <w:rFonts w:hint="eastAsia" w:ascii="宋体" w:hAnsi="宋体" w:eastAsia="宋体" w:cs="宋体"/>
                <w:color w:val="auto"/>
                <w:sz w:val="21"/>
                <w:szCs w:val="21"/>
                <w:lang w:val="en-US" w:eastAsia="zh-CN"/>
              </w:rPr>
              <w:t>校验；</w:t>
            </w:r>
          </w:p>
          <w:p>
            <w:pPr>
              <w:numPr>
                <w:ilvl w:val="0"/>
                <w:numId w:val="9"/>
              </w:numPr>
              <w:spacing w:line="360" w:lineRule="auto"/>
              <w:ind w:left="425" w:leftChars="0" w:hanging="425" w:firstLineChars="0"/>
              <w:rPr>
                <w:rFonts w:hint="eastAsia" w:ascii="宋体" w:hAnsi="宋体" w:eastAsia="宋体" w:cs="宋体"/>
                <w:sz w:val="21"/>
                <w:szCs w:val="21"/>
                <w:lang w:val="en-US"/>
              </w:rPr>
            </w:pPr>
            <w:r>
              <w:rPr>
                <w:rFonts w:hint="eastAsia" w:ascii="宋体" w:hAnsi="宋体" w:eastAsia="宋体" w:cs="宋体"/>
                <w:color w:val="auto"/>
                <w:sz w:val="21"/>
                <w:szCs w:val="21"/>
                <w:lang w:val="en-US"/>
              </w:rPr>
              <w:t>支持不同就诊次文书之间内容是否雷同</w:t>
            </w:r>
            <w:r>
              <w:rPr>
                <w:rFonts w:hint="eastAsia" w:ascii="宋体" w:hAnsi="宋体" w:eastAsia="宋体" w:cs="宋体"/>
                <w:color w:val="auto"/>
                <w:sz w:val="21"/>
                <w:szCs w:val="21"/>
                <w:lang w:val="en-US" w:eastAsia="zh-CN"/>
              </w:rPr>
              <w:t>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文书完整性规则库</w:t>
            </w:r>
          </w:p>
        </w:tc>
        <w:tc>
          <w:tcPr>
            <w:tcW w:w="4615" w:type="dxa"/>
            <w:vAlign w:val="center"/>
          </w:tcPr>
          <w:p>
            <w:pPr>
              <w:numPr>
                <w:ilvl w:val="0"/>
                <w:numId w:val="10"/>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支持必要医疗文书记录的完整性校验</w:t>
            </w:r>
            <w:r>
              <w:rPr>
                <w:rFonts w:hint="eastAsia" w:ascii="宋体" w:hAnsi="宋体" w:eastAsia="宋体" w:cs="宋体"/>
                <w:sz w:val="21"/>
                <w:szCs w:val="21"/>
                <w:lang w:eastAsia="zh-CN"/>
              </w:rPr>
              <w:t>；</w:t>
            </w:r>
          </w:p>
          <w:p>
            <w:pPr>
              <w:numPr>
                <w:ilvl w:val="0"/>
                <w:numId w:val="10"/>
              </w:numPr>
              <w:spacing w:line="360" w:lineRule="auto"/>
              <w:ind w:left="425" w:leftChars="0" w:hanging="425" w:firstLineChars="0"/>
              <w:rPr>
                <w:rFonts w:hint="eastAsia" w:ascii="宋体" w:hAnsi="宋体" w:eastAsia="宋体" w:cs="宋体"/>
                <w:sz w:val="21"/>
                <w:szCs w:val="21"/>
                <w:lang w:val="en-US"/>
              </w:rPr>
            </w:pPr>
            <w:r>
              <w:rPr>
                <w:rFonts w:hint="eastAsia" w:ascii="宋体" w:hAnsi="宋体" w:eastAsia="宋体" w:cs="宋体"/>
                <w:sz w:val="21"/>
                <w:szCs w:val="21"/>
                <w:lang w:val="en-US"/>
              </w:rPr>
              <w:t>支持病历中非空项内容的缺失校验</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文书一致规则库</w:t>
            </w:r>
          </w:p>
        </w:tc>
        <w:tc>
          <w:tcPr>
            <w:tcW w:w="4615" w:type="dxa"/>
            <w:vAlign w:val="center"/>
          </w:tcPr>
          <w:p>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支持单份病历文书内容前后一致性校验</w:t>
            </w:r>
            <w:r>
              <w:rPr>
                <w:rFonts w:hint="eastAsia" w:ascii="宋体" w:hAnsi="宋体" w:eastAsia="宋体" w:cs="宋体"/>
                <w:sz w:val="21"/>
                <w:szCs w:val="21"/>
                <w:lang w:eastAsia="zh-CN"/>
              </w:rPr>
              <w:t>；</w:t>
            </w:r>
          </w:p>
          <w:p>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支持跨文书一致性校验，将入院记录、首次病程记录、日常病程记录、上级医师查房记录文书进行内容比对是否一致</w:t>
            </w:r>
            <w:r>
              <w:rPr>
                <w:rFonts w:hint="eastAsia" w:ascii="宋体" w:hAnsi="宋体" w:eastAsia="宋体" w:cs="宋体"/>
                <w:sz w:val="21"/>
                <w:szCs w:val="21"/>
                <w:lang w:eastAsia="zh-CN"/>
              </w:rPr>
              <w:t>；</w:t>
            </w:r>
          </w:p>
          <w:p>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支持病历文书与医嘱比对内容是否一致性校验</w:t>
            </w:r>
            <w:r>
              <w:rPr>
                <w:rFonts w:hint="eastAsia" w:ascii="宋体" w:hAnsi="宋体" w:eastAsia="宋体" w:cs="宋体"/>
                <w:sz w:val="21"/>
                <w:szCs w:val="21"/>
                <w:lang w:eastAsia="zh-CN"/>
              </w:rPr>
              <w:t>；</w:t>
            </w:r>
          </w:p>
          <w:p>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支持病历文书与检查报告内容是否一致性校验</w:t>
            </w:r>
            <w:r>
              <w:rPr>
                <w:rFonts w:hint="eastAsia" w:ascii="宋体" w:hAnsi="宋体" w:eastAsia="宋体" w:cs="宋体"/>
                <w:sz w:val="21"/>
                <w:szCs w:val="21"/>
                <w:lang w:eastAsia="zh-CN"/>
              </w:rPr>
              <w:t>；</w:t>
            </w:r>
          </w:p>
          <w:p>
            <w:pPr>
              <w:numPr>
                <w:ilvl w:val="0"/>
                <w:numId w:val="11"/>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支持病历文书与检验报告内容是否一致性校验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真实病情质控库</w:t>
            </w:r>
          </w:p>
        </w:tc>
        <w:tc>
          <w:tcPr>
            <w:tcW w:w="4615" w:type="dxa"/>
            <w:vAlign w:val="center"/>
          </w:tcPr>
          <w:p>
            <w:pPr>
              <w:numPr>
                <w:ilvl w:val="0"/>
                <w:numId w:val="12"/>
              </w:numPr>
              <w:spacing w:line="360" w:lineRule="auto"/>
              <w:ind w:left="425" w:leftChars="0" w:hanging="425" w:firstLineChars="0"/>
              <w:rPr>
                <w:rFonts w:hint="eastAsia" w:ascii="宋体" w:hAnsi="宋体" w:eastAsia="宋体" w:cs="宋体"/>
                <w:color w:val="auto"/>
                <w:sz w:val="21"/>
                <w:szCs w:val="21"/>
              </w:rPr>
            </w:pPr>
            <w:r>
              <w:rPr>
                <w:rFonts w:hint="eastAsia" w:ascii="宋体" w:hAnsi="宋体" w:eastAsia="宋体" w:cs="宋体"/>
                <w:color w:val="auto"/>
                <w:sz w:val="21"/>
                <w:szCs w:val="21"/>
              </w:rPr>
              <w:t>支持依据分词后辅助检查报告数据推出患者实际发生病情未在文书中记录</w:t>
            </w:r>
            <w:r>
              <w:rPr>
                <w:rFonts w:hint="eastAsia" w:ascii="宋体" w:hAnsi="宋体" w:eastAsia="宋体" w:cs="宋体"/>
                <w:color w:val="auto"/>
                <w:sz w:val="21"/>
                <w:szCs w:val="21"/>
                <w:lang w:eastAsia="zh-CN"/>
              </w:rPr>
              <w:t>的校验；</w:t>
            </w:r>
          </w:p>
          <w:p>
            <w:pPr>
              <w:numPr>
                <w:ilvl w:val="0"/>
                <w:numId w:val="12"/>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支持依据分词后病历文书前后病情描述不符合医学逻辑的校验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诊治分析质控库</w:t>
            </w:r>
          </w:p>
        </w:tc>
        <w:tc>
          <w:tcPr>
            <w:tcW w:w="4615" w:type="dxa"/>
            <w:vAlign w:val="center"/>
          </w:tcPr>
          <w:p>
            <w:pPr>
              <w:numPr>
                <w:ilvl w:val="0"/>
                <w:numId w:val="1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支持依据病历文书、检查报告、检验报告内容分析患者疾病进展情况，校验该疾病的治疗过程是否被记录</w:t>
            </w:r>
            <w:r>
              <w:rPr>
                <w:rFonts w:hint="eastAsia" w:ascii="宋体" w:hAnsi="宋体" w:eastAsia="宋体" w:cs="宋体"/>
                <w:sz w:val="21"/>
                <w:szCs w:val="21"/>
                <w:lang w:eastAsia="zh-CN"/>
              </w:rPr>
              <w:t>；</w:t>
            </w:r>
          </w:p>
          <w:p>
            <w:pPr>
              <w:numPr>
                <w:ilvl w:val="0"/>
                <w:numId w:val="1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支持针对病历中出现的疾病应书写的诊断分析过程是否被如实记录</w:t>
            </w:r>
            <w:r>
              <w:rPr>
                <w:rFonts w:hint="eastAsia" w:ascii="宋体" w:hAnsi="宋体" w:eastAsia="宋体" w:cs="宋体"/>
                <w:sz w:val="21"/>
                <w:szCs w:val="21"/>
                <w:lang w:eastAsia="zh-CN"/>
              </w:rPr>
              <w:t>进行校验；</w:t>
            </w:r>
          </w:p>
          <w:p>
            <w:pPr>
              <w:numPr>
                <w:ilvl w:val="0"/>
                <w:numId w:val="13"/>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支持依据医嘱数据智能分析，对患者治疗方案变更是否被记录进行校验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病历诊断质控库</w:t>
            </w:r>
          </w:p>
        </w:tc>
        <w:tc>
          <w:tcPr>
            <w:tcW w:w="4615" w:type="dxa"/>
            <w:vAlign w:val="center"/>
          </w:tcPr>
          <w:p>
            <w:pPr>
              <w:numPr>
                <w:ilvl w:val="0"/>
                <w:numId w:val="1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支持通过分析病历文书中记录的疾病史、症状、体征信息，对入院记录初步诊断与出院记录出院诊断进行漏诊校验</w:t>
            </w:r>
            <w:r>
              <w:rPr>
                <w:rFonts w:hint="eastAsia" w:ascii="宋体" w:hAnsi="宋体" w:eastAsia="宋体" w:cs="宋体"/>
                <w:sz w:val="21"/>
                <w:szCs w:val="21"/>
                <w:lang w:eastAsia="zh-CN"/>
              </w:rPr>
              <w:t>；</w:t>
            </w:r>
          </w:p>
          <w:p>
            <w:pPr>
              <w:numPr>
                <w:ilvl w:val="0"/>
                <w:numId w:val="1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支持对入院记录初步诊断与出院记录出院诊断进行无依据诊断</w:t>
            </w:r>
            <w:r>
              <w:rPr>
                <w:rFonts w:hint="eastAsia" w:ascii="宋体" w:hAnsi="宋体" w:eastAsia="宋体" w:cs="宋体"/>
                <w:sz w:val="21"/>
                <w:szCs w:val="21"/>
                <w:lang w:eastAsia="zh-CN"/>
              </w:rPr>
              <w:t>校验；</w:t>
            </w:r>
          </w:p>
          <w:p>
            <w:pPr>
              <w:numPr>
                <w:ilvl w:val="0"/>
                <w:numId w:val="14"/>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支持对病历中入出院诊断名称与分期分型不规范</w:t>
            </w:r>
            <w:r>
              <w:rPr>
                <w:rFonts w:hint="eastAsia" w:ascii="宋体" w:hAnsi="宋体" w:eastAsia="宋体" w:cs="宋体"/>
                <w:sz w:val="21"/>
                <w:szCs w:val="21"/>
                <w:lang w:eastAsia="zh-CN"/>
              </w:rPr>
              <w:t>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Merge w:val="continue"/>
            <w:vAlign w:val="center"/>
          </w:tcPr>
          <w:p>
            <w:pPr>
              <w:spacing w:line="360" w:lineRule="auto"/>
              <w:rPr>
                <w:rFonts w:hint="eastAsia" w:ascii="宋体" w:hAnsi="宋体" w:eastAsia="宋体" w:cs="宋体"/>
                <w:sz w:val="21"/>
                <w:szCs w:val="21"/>
              </w:rPr>
            </w:pPr>
          </w:p>
        </w:tc>
        <w:tc>
          <w:tcPr>
            <w:tcW w:w="1224" w:type="dxa"/>
            <w:vMerge w:val="continue"/>
            <w:vAlign w:val="center"/>
          </w:tcPr>
          <w:p>
            <w:pPr>
              <w:spacing w:line="360" w:lineRule="auto"/>
              <w:rPr>
                <w:rFonts w:hint="eastAsia" w:ascii="宋体" w:hAnsi="宋体" w:eastAsia="宋体" w:cs="宋体"/>
                <w:sz w:val="21"/>
                <w:szCs w:val="21"/>
              </w:rPr>
            </w:pPr>
          </w:p>
        </w:tc>
        <w:tc>
          <w:tcPr>
            <w:tcW w:w="1801"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专病逻辑质控库</w:t>
            </w:r>
          </w:p>
        </w:tc>
        <w:tc>
          <w:tcPr>
            <w:tcW w:w="4615" w:type="dxa"/>
            <w:vAlign w:val="center"/>
          </w:tcPr>
          <w:p>
            <w:pPr>
              <w:numPr>
                <w:ilvl w:val="0"/>
                <w:numId w:val="15"/>
              </w:numPr>
              <w:spacing w:line="360" w:lineRule="auto"/>
              <w:ind w:left="425" w:leftChars="0" w:hanging="425"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支持</w:t>
            </w:r>
            <w:r>
              <w:rPr>
                <w:rFonts w:hint="eastAsia" w:ascii="宋体" w:hAnsi="宋体" w:eastAsia="宋体" w:cs="宋体"/>
                <w:sz w:val="21"/>
                <w:szCs w:val="21"/>
              </w:rPr>
              <w:t>对专科疾病</w:t>
            </w:r>
            <w:r>
              <w:rPr>
                <w:rFonts w:hint="eastAsia" w:ascii="宋体" w:hAnsi="宋体" w:eastAsia="宋体" w:cs="宋体"/>
                <w:sz w:val="21"/>
                <w:szCs w:val="21"/>
                <w:lang w:eastAsia="zh-CN"/>
              </w:rPr>
              <w:t>的</w:t>
            </w:r>
            <w:r>
              <w:rPr>
                <w:rFonts w:hint="eastAsia" w:ascii="宋体" w:hAnsi="宋体" w:eastAsia="宋体" w:cs="宋体"/>
                <w:sz w:val="21"/>
                <w:szCs w:val="21"/>
              </w:rPr>
              <w:t>病历文书</w:t>
            </w:r>
            <w:r>
              <w:rPr>
                <w:rFonts w:hint="eastAsia" w:ascii="宋体" w:hAnsi="宋体" w:eastAsia="宋体" w:cs="宋体"/>
                <w:sz w:val="21"/>
                <w:szCs w:val="21"/>
                <w:lang w:eastAsia="zh-CN"/>
              </w:rPr>
              <w:t>是</w:t>
            </w:r>
            <w:r>
              <w:rPr>
                <w:rFonts w:hint="eastAsia" w:ascii="宋体" w:hAnsi="宋体" w:eastAsia="宋体" w:cs="宋体"/>
                <w:sz w:val="21"/>
                <w:szCs w:val="21"/>
              </w:rPr>
              <w:t>否记录符合专病逻辑</w:t>
            </w:r>
            <w:r>
              <w:rPr>
                <w:rFonts w:hint="eastAsia" w:ascii="宋体" w:hAnsi="宋体" w:eastAsia="宋体" w:cs="宋体"/>
                <w:sz w:val="21"/>
                <w:szCs w:val="21"/>
                <w:lang w:eastAsia="zh-CN"/>
              </w:rPr>
              <w:t>的校验，</w:t>
            </w:r>
            <w:r>
              <w:rPr>
                <w:rFonts w:hint="eastAsia" w:ascii="宋体" w:hAnsi="宋体" w:eastAsia="宋体" w:cs="宋体"/>
                <w:sz w:val="21"/>
                <w:szCs w:val="21"/>
              </w:rPr>
              <w:t>支持对该专病的诊断过程未在病历文书中记录的校验</w:t>
            </w:r>
            <w:r>
              <w:rPr>
                <w:rFonts w:hint="eastAsia" w:ascii="宋体" w:hAnsi="宋体" w:eastAsia="宋体" w:cs="宋体"/>
                <w:sz w:val="21"/>
                <w:szCs w:val="21"/>
                <w:lang w:eastAsia="zh-CN"/>
              </w:rPr>
              <w:t>；</w:t>
            </w:r>
          </w:p>
          <w:p>
            <w:pPr>
              <w:numPr>
                <w:ilvl w:val="0"/>
                <w:numId w:val="15"/>
              </w:numPr>
              <w:spacing w:line="360" w:lineRule="auto"/>
              <w:ind w:left="425" w:leftChars="0" w:hanging="425" w:firstLineChars="0"/>
              <w:rPr>
                <w:rFonts w:hint="eastAsia" w:ascii="宋体" w:hAnsi="宋体" w:eastAsia="宋体" w:cs="宋体"/>
                <w:sz w:val="21"/>
                <w:szCs w:val="21"/>
              </w:rPr>
            </w:pPr>
            <w:r>
              <w:rPr>
                <w:rFonts w:hint="eastAsia" w:ascii="宋体" w:hAnsi="宋体" w:eastAsia="宋体" w:cs="宋体"/>
                <w:sz w:val="21"/>
                <w:szCs w:val="21"/>
              </w:rPr>
              <w:t>支持对专科疾病的发生、发展、诊断、治疗过程记录存在逻辑矛盾的校验</w:t>
            </w:r>
            <w:r>
              <w:rPr>
                <w:rFonts w:hint="eastAsia" w:ascii="宋体" w:hAnsi="宋体" w:eastAsia="宋体" w:cs="宋体"/>
                <w:sz w:val="21"/>
                <w:szCs w:val="21"/>
                <w:lang w:eastAsia="zh-CN"/>
              </w:rPr>
              <w:t>。</w:t>
            </w:r>
          </w:p>
        </w:tc>
      </w:tr>
    </w:tbl>
    <w:p>
      <w:pPr>
        <w:pStyle w:val="2"/>
        <w:spacing w:line="360" w:lineRule="auto"/>
        <w:rPr>
          <w:rFonts w:hint="eastAsia" w:ascii="宋体" w:hAnsi="宋体" w:eastAsia="宋体" w:cs="宋体"/>
          <w:sz w:val="21"/>
          <w:szCs w:val="21"/>
          <w:lang w:val="en-US"/>
        </w:rPr>
      </w:pP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对接口及系统改造的要求</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ab/>
      </w:r>
      <w:r>
        <w:rPr>
          <w:rFonts w:hint="eastAsia" w:ascii="宋体" w:hAnsi="宋体" w:eastAsia="宋体" w:cs="宋体"/>
          <w:b/>
          <w:bCs/>
          <w:sz w:val="21"/>
          <w:szCs w:val="21"/>
        </w:rPr>
        <w:t>维保期和续保期内免费实现以下要求：</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3.1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提供全面的与第三方系统共享数据</w:t>
      </w:r>
      <w:r>
        <w:rPr>
          <w:rFonts w:hint="eastAsia" w:ascii="宋体" w:hAnsi="宋体" w:eastAsia="宋体" w:cs="宋体"/>
          <w:sz w:val="21"/>
          <w:szCs w:val="21"/>
          <w:lang w:val="en-US" w:eastAsia="zh-CN"/>
        </w:rPr>
        <w:t>的</w:t>
      </w:r>
      <w:r>
        <w:rPr>
          <w:rFonts w:hint="eastAsia" w:ascii="宋体" w:hAnsi="宋体" w:eastAsia="宋体" w:cs="宋体"/>
          <w:sz w:val="21"/>
          <w:szCs w:val="21"/>
          <w:lang w:val="en-US"/>
        </w:rPr>
        <w:t>接口技术和功能，这些接口技术包括中间件技术接口、WEBSEVICE通用接口、数据库级接口、文件文本接口等。</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3.2</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提供与医院第三方系统统一接口的维护与管理，与HIS、电子病历、LIS、PACS、心电系统、体检系统、集成平台、成本管理系统、排班系统、人力资源管理系统、财务管理系统、互联网医院、OA系统、自助服务平台、DRG</w:t>
      </w:r>
      <w:r>
        <w:rPr>
          <w:rFonts w:hint="eastAsia" w:ascii="宋体" w:hAnsi="宋体" w:eastAsia="宋体" w:cs="宋体"/>
          <w:sz w:val="21"/>
          <w:szCs w:val="21"/>
          <w:lang w:val="en-US" w:eastAsia="zh-CN"/>
        </w:rPr>
        <w:t>s</w:t>
      </w:r>
      <w:r>
        <w:rPr>
          <w:rFonts w:hint="eastAsia" w:ascii="宋体" w:hAnsi="宋体" w:eastAsia="宋体" w:cs="宋体"/>
          <w:sz w:val="21"/>
          <w:szCs w:val="21"/>
          <w:lang w:val="en-US"/>
        </w:rPr>
        <w:t>管理、绩效管理、电子发票、短信平台、财务电子档案、智慧运营平台等其他所有医院相关业务系统（包括以上医院系统但不仅限于以上系统）进行免费接口对接，实现数据交换。</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3.3满足医院电子病历系统功能应用水平分级评价达到6级以上评审、医院信息互联互通标准化成熟度测评达到五级乙等以上水平评审、信息系统安全等级保护三级测评、三甲医院评审、医院智慧服务分级评估标准体系达到4级以上相关的功能要求、医院智慧管理分级评估标准体系达到4级以上相关的功能要求、网络攻防演练中的安全防护要求以及医院其他需要评审的信息化技术改造服务要求；</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3.4提供软件免费升级及个性化修改服务，免费实现院方的个性化需求；软件自身错误类问题提供永久性免费修改服务；</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3.5免费提供医院新增业务信息系统的对接、免费实现医院上级管理部门要求的系统接口对接要求。</w:t>
      </w: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项目实施要求</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4.1驻场、实施工期要求：合同签订后，7个工作日内项目实施人员进场，系统需在4个月内完成项目实施上线，请分别列出每个系统实施的工作计划及周期。</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4.2驻场人员要求：</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实施工程师</w:t>
      </w:r>
      <w:r>
        <w:rPr>
          <w:rFonts w:hint="eastAsia" w:ascii="宋体" w:hAnsi="宋体" w:eastAsia="宋体" w:cs="宋体"/>
          <w:sz w:val="21"/>
          <w:szCs w:val="21"/>
          <w:lang w:val="en-US" w:eastAsia="zh-CN"/>
        </w:rPr>
        <w:t>（原厂）</w:t>
      </w:r>
      <w:r>
        <w:rPr>
          <w:rFonts w:hint="eastAsia" w:ascii="宋体" w:hAnsi="宋体" w:eastAsia="宋体" w:cs="宋体"/>
          <w:sz w:val="21"/>
          <w:szCs w:val="21"/>
          <w:lang w:val="en-US"/>
        </w:rPr>
        <w:t>：项目驻场实施工程师需有2年以上本厂商同等项目实施经验。项目实施阶段，驻场实施工程师不得少于2名。</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开发工程师</w:t>
      </w:r>
      <w:r>
        <w:rPr>
          <w:rFonts w:hint="eastAsia" w:ascii="宋体" w:hAnsi="宋体" w:eastAsia="宋体" w:cs="宋体"/>
          <w:sz w:val="21"/>
          <w:szCs w:val="21"/>
          <w:lang w:val="en-US" w:eastAsia="zh-CN"/>
        </w:rPr>
        <w:t>（原厂）</w:t>
      </w:r>
      <w:r>
        <w:rPr>
          <w:rFonts w:hint="eastAsia" w:ascii="宋体" w:hAnsi="宋体" w:eastAsia="宋体" w:cs="宋体"/>
          <w:sz w:val="21"/>
          <w:szCs w:val="21"/>
          <w:lang w:val="en-US"/>
        </w:rPr>
        <w:t>：项目驻场开发工程师需有2年以上本厂商同类型项目开发经验。项目实施和上线阶段，驻场开发工程师不得少于1名。如不能按项目阶段计划正常开展工作的，医院书面提出要求，驻场开发人员不得少于3人（含原驻场人员在内）。</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如需更换开发工程师、实施工程师，厂商需提交书面申请，经院方同意才可更换。</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竞标文件中需提供软件提供商项目驻场人员清单（含项目开发和项目实施人员），清单中标明驻场人员详细信息，如姓名、联系方式、技术职称、社保证明等。</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4.3因厂商与院方存在对需求理解有差异的可能性，要求所有软件功能需求的响应以院方意见为准。</w:t>
      </w:r>
    </w:p>
    <w:p>
      <w:pPr>
        <w:pStyle w:val="2"/>
        <w:spacing w:line="360" w:lineRule="auto"/>
        <w:rPr>
          <w:rFonts w:hint="eastAsia" w:ascii="宋体" w:hAnsi="宋体" w:eastAsia="宋体" w:cs="宋体"/>
          <w:sz w:val="21"/>
          <w:szCs w:val="21"/>
          <w:lang w:val="en-US"/>
        </w:rPr>
      </w:pP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售后服务及其他要求</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5.1自本项目整体最终验收之日起，所有产品要求提供三年的免费维保服务。含软件维护和系统软件升级、技术支持服务、系统管理及操作培训，免费提供系统个性化修改需求。请详细说明售后服务的内容和维保方案以及维保期后续保方案及费用。</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5.2安装调试要求：免费安装调试、提供完善的软件系统使用中文操作手册、图纸、网络详细拓扑图、系统配置、功能配置、互联记录；</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5.3原厂技术人员免费提供售后服务，含电话支持、现场响应、远程操作、网上客服中心等多种方式服务，应做到7×24小时全天候电话或微信等常用联系方式响应。</w:t>
      </w:r>
      <w:bookmarkStart w:id="1" w:name="_Toc507405798"/>
      <w:r>
        <w:rPr>
          <w:rFonts w:hint="eastAsia" w:ascii="宋体" w:hAnsi="宋体" w:eastAsia="宋体" w:cs="宋体"/>
          <w:sz w:val="21"/>
          <w:szCs w:val="21"/>
          <w:lang w:val="en-US"/>
        </w:rPr>
        <w:t>当出现故障时，接到故障通知后，原厂技术人员应在30分钟内响应，远程技术支持无法解决的，6小时内需到达现场处理修复，并调查分析事故原因。</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5.4提供原厂技术人员定期回访服务，定期通过电话或其他方式访问用户，了解产品使用情况及网络安全情况，须每半年进行一次现场巡检，并形成书面巡检服务报告，加盖有效公章并反馈给甲方（要求提供巡检报告模板，内容涉及此项目相关设备的运行情况及现场巡检照片）。</w:t>
      </w:r>
    </w:p>
    <w:p>
      <w:pPr>
        <w:pStyle w:val="2"/>
        <w:spacing w:line="360" w:lineRule="auto"/>
        <w:ind w:firstLine="42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 供应商提供的任何软件、硬件及系统都不能设置任何形式的</w:t>
      </w:r>
      <w:r>
        <w:rPr>
          <w:rFonts w:hint="eastAsia" w:ascii="宋体" w:hAnsi="宋体" w:eastAsia="宋体" w:cs="宋体"/>
          <w:sz w:val="21"/>
          <w:szCs w:val="21"/>
          <w:lang w:val="en-US"/>
        </w:rPr>
        <w:t>软硬件加密狗</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时间锁</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授权码等可以限制硬件及软件系统正常运行的措施</w:t>
      </w:r>
      <w:r>
        <w:rPr>
          <w:rFonts w:hint="eastAsia" w:ascii="宋体" w:hAnsi="宋体" w:eastAsia="宋体" w:cs="宋体"/>
          <w:sz w:val="21"/>
          <w:szCs w:val="21"/>
          <w:lang w:val="en-US" w:eastAsia="zh-CN"/>
        </w:rPr>
        <w:t>，如有特殊需要必须提交纸质文件说明，经过</w:t>
      </w:r>
      <w:bookmarkStart w:id="4" w:name="_GoBack"/>
      <w:r>
        <w:rPr>
          <w:rFonts w:hint="eastAsia" w:ascii="宋体" w:hAnsi="宋体" w:eastAsia="宋体" w:cs="宋体"/>
          <w:sz w:val="21"/>
          <w:szCs w:val="21"/>
          <w:lang w:val="en-US" w:eastAsia="zh-CN"/>
        </w:rPr>
        <w:t>医院</w:t>
      </w:r>
      <w:bookmarkEnd w:id="4"/>
      <w:r>
        <w:rPr>
          <w:rFonts w:hint="eastAsia" w:ascii="宋体" w:hAnsi="宋体" w:eastAsia="宋体" w:cs="宋体"/>
          <w:sz w:val="21"/>
          <w:szCs w:val="21"/>
          <w:lang w:val="en-US" w:eastAsia="zh-CN"/>
        </w:rPr>
        <w:t>签字同意才可设置。</w:t>
      </w: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违约责任</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6.1</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所提供的软件版本和询价</w:t>
      </w:r>
      <w:r>
        <w:rPr>
          <w:rFonts w:hint="eastAsia" w:ascii="宋体" w:hAnsi="宋体" w:eastAsia="宋体" w:cs="宋体"/>
          <w:sz w:val="21"/>
          <w:szCs w:val="21"/>
          <w:lang w:val="en-US" w:eastAsia="zh-CN"/>
        </w:rPr>
        <w:t>时提供的版本</w:t>
      </w:r>
      <w:r>
        <w:rPr>
          <w:rFonts w:hint="eastAsia" w:ascii="宋体" w:hAnsi="宋体" w:eastAsia="宋体" w:cs="宋体"/>
          <w:sz w:val="21"/>
          <w:szCs w:val="21"/>
          <w:lang w:val="en-US"/>
        </w:rPr>
        <w:t>不符合的，应及时更换，更换不及时的，乙方应向甲方支付违约货款额5%违约金，并赔偿甲方经济损失。</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6.2</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提供的系统如侵犯了第三方合法权益而引发的任何纠纷或诉讼，均由</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负责交涉并承担全部责任。</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6.3合同签订后7个工作日内进场实施，每个模块计划实施周期需在合同内写明。因软件提供商原因逾期不进场实施的，</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需按每天向</w:t>
      </w:r>
      <w:r>
        <w:rPr>
          <w:rFonts w:hint="eastAsia" w:ascii="宋体" w:hAnsi="宋体" w:eastAsia="宋体" w:cs="宋体"/>
          <w:sz w:val="21"/>
          <w:szCs w:val="21"/>
          <w:lang w:val="en-US" w:eastAsia="zh-CN"/>
        </w:rPr>
        <w:t>甲</w:t>
      </w:r>
      <w:r>
        <w:rPr>
          <w:rFonts w:hint="eastAsia" w:ascii="宋体" w:hAnsi="宋体" w:eastAsia="宋体" w:cs="宋体"/>
          <w:sz w:val="21"/>
          <w:szCs w:val="21"/>
          <w:lang w:val="en-US"/>
        </w:rPr>
        <w:t>方支付合同款金额3‰作为违约金，超过30天，甲</w:t>
      </w:r>
      <w:r>
        <w:rPr>
          <w:rFonts w:hint="eastAsia" w:ascii="宋体" w:hAnsi="宋体" w:eastAsia="宋体" w:cs="宋体"/>
          <w:sz w:val="21"/>
          <w:szCs w:val="21"/>
          <w:lang w:val="en-US" w:eastAsia="zh-CN"/>
        </w:rPr>
        <w:t>方</w:t>
      </w:r>
      <w:r>
        <w:rPr>
          <w:rFonts w:hint="eastAsia" w:ascii="宋体" w:hAnsi="宋体" w:eastAsia="宋体" w:cs="宋体"/>
          <w:sz w:val="21"/>
          <w:szCs w:val="21"/>
          <w:lang w:val="en-US"/>
        </w:rPr>
        <w:t>有权解除合同，乙方需承担因此给</w:t>
      </w:r>
      <w:r>
        <w:rPr>
          <w:rFonts w:hint="eastAsia" w:ascii="宋体" w:hAnsi="宋体" w:eastAsia="宋体" w:cs="宋体"/>
          <w:sz w:val="21"/>
          <w:szCs w:val="21"/>
          <w:lang w:val="en-US" w:eastAsia="zh-CN"/>
        </w:rPr>
        <w:t>甲</w:t>
      </w:r>
      <w:r>
        <w:rPr>
          <w:rFonts w:hint="eastAsia" w:ascii="宋体" w:hAnsi="宋体" w:eastAsia="宋体" w:cs="宋体"/>
          <w:sz w:val="21"/>
          <w:szCs w:val="21"/>
          <w:lang w:val="en-US"/>
        </w:rPr>
        <w:t>方造成的经济损失；</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不能按照合同约定上线期限完成，需要书面申请说明原因，得到</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书面同意后最多延期一个月，否则（或者延期一个月后）按每超期7天（一周）从总合同金额扣除5%的违约金。扣除比例达到总合同金额的50%及以上的，视为乙方违约，甲方有权单方面解除合同，并要求乙方退回所有</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已支付款项，同时按合同总金额的20%做为违约金支付给甲方。</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6.4售后服务违约：</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6.4.1每缺少1次现场巡检记录，</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应向甲方支付违约金5000元；</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6.4.2 </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未按本技术要求和响应文件中规定的其他服务承诺提供售后服务的，每次</w:t>
      </w:r>
      <w:r>
        <w:rPr>
          <w:rFonts w:hint="eastAsia" w:ascii="宋体" w:hAnsi="宋体" w:eastAsia="宋体" w:cs="宋体"/>
          <w:sz w:val="21"/>
          <w:szCs w:val="21"/>
          <w:lang w:val="en-US" w:eastAsia="zh-CN"/>
        </w:rPr>
        <w:t>乙方</w:t>
      </w:r>
      <w:r>
        <w:rPr>
          <w:rFonts w:hint="eastAsia" w:ascii="宋体" w:hAnsi="宋体" w:eastAsia="宋体" w:cs="宋体"/>
          <w:sz w:val="21"/>
          <w:szCs w:val="21"/>
          <w:lang w:val="en-US"/>
        </w:rPr>
        <w:t>应按合同合计金额的5% 向甲方支付违约金。</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6.5任何一方违反本技术要求中“保密、廉洁条款”要求的，应承担相应的违约责任并赔偿由此造成的损失，损失累计金额超过合同款项的5%的，损失方同时有权终止合同并收回已付款项。</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6.6厂商方未按本技术要求和响应文件中规定的其他服务承诺提供售后服务的，按损失情况，每次应按合同合计金额的0.1‰-0.1%由乙方向甲方支付违约金，损失累计金额超过合同款项的5%的，</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有权终止合同并收回已付款项。</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6.7厂商不得在提供的硬件及软件系统中设置包括且不限于如：软硬件加密狗</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时间锁</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授权码等可以限制硬件及软件系统正常运行的措施，否则视为乙方违约，乙方需要支付</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违约金</w:t>
      </w:r>
      <w:r>
        <w:rPr>
          <w:rFonts w:hint="eastAsia" w:ascii="宋体" w:hAnsi="宋体" w:eastAsia="宋体" w:cs="宋体"/>
          <w:sz w:val="21"/>
          <w:szCs w:val="21"/>
          <w:lang w:val="en-US" w:eastAsia="zh-CN"/>
        </w:rPr>
        <w:t>人民币</w:t>
      </w:r>
      <w:r>
        <w:rPr>
          <w:rFonts w:hint="eastAsia" w:ascii="宋体" w:hAnsi="宋体" w:eastAsia="宋体" w:cs="宋体"/>
          <w:sz w:val="21"/>
          <w:szCs w:val="21"/>
          <w:lang w:val="en-US"/>
        </w:rPr>
        <w:t>500000元（伍拾万元），在此基础上</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有权要求乙方退回甲方已支付的所有款项。如对</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造成损失的，甲方有权要求乙方赔偿。</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6.8厂商驻场工程师人员变更必须得到</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书面同意，否则视为乙方违约，甲方有权按50000元/人/次从合同总款中扣除。</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6.9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bookmarkEnd w:id="1"/>
    <w:p>
      <w:pPr>
        <w:pStyle w:val="10"/>
        <w:numPr>
          <w:ilvl w:val="0"/>
          <w:numId w:val="2"/>
        </w:numPr>
        <w:spacing w:line="360" w:lineRule="auto"/>
        <w:ind w:firstLineChars="0"/>
        <w:rPr>
          <w:rFonts w:hint="eastAsia" w:ascii="宋体" w:hAnsi="宋体" w:eastAsia="宋体" w:cs="宋体"/>
          <w:b/>
          <w:sz w:val="21"/>
          <w:szCs w:val="21"/>
        </w:rPr>
      </w:pPr>
      <w:bookmarkStart w:id="2" w:name="_Toc507405799"/>
      <w:bookmarkStart w:id="3" w:name="_Toc507405800"/>
      <w:r>
        <w:rPr>
          <w:rFonts w:hint="eastAsia" w:ascii="宋体" w:hAnsi="宋体" w:eastAsia="宋体" w:cs="宋体"/>
          <w:b/>
          <w:sz w:val="21"/>
          <w:szCs w:val="21"/>
        </w:rPr>
        <w:t>保密、廉洁协议</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7.2 双方不得以任何方式向第三方泄露本项目的软件技术、设计方案以及功能配置等内容。</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7.3 不以任何方式向第三方泄露在本协议开发实施过程中获取的经济、技术、数据以及双方其他非公开的信息。</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Style w:val="2"/>
        <w:spacing w:line="360" w:lineRule="auto"/>
        <w:ind w:firstLine="420"/>
        <w:rPr>
          <w:rFonts w:hint="eastAsia" w:ascii="宋体" w:hAnsi="宋体" w:eastAsia="宋体" w:cs="宋体"/>
          <w:sz w:val="21"/>
          <w:szCs w:val="21"/>
          <w:lang w:val="en-US"/>
        </w:rPr>
      </w:pPr>
      <w:r>
        <w:rPr>
          <w:rFonts w:hint="eastAsia" w:ascii="宋体" w:hAnsi="宋体" w:eastAsia="宋体" w:cs="宋体"/>
          <w:sz w:val="21"/>
          <w:szCs w:val="21"/>
          <w:lang w:val="en-US"/>
        </w:rPr>
        <w:t>7.5保密期限自本合同生效之日起永久有效，如乙方需解除保密协议需向甲方提出书面申请，双方协商同意签字确认后方可解除。</w:t>
      </w:r>
    </w:p>
    <w:p>
      <w:pPr>
        <w:pStyle w:val="2"/>
        <w:spacing w:line="360" w:lineRule="auto"/>
        <w:ind w:firstLine="420"/>
        <w:rPr>
          <w:rFonts w:hint="eastAsia" w:ascii="宋体" w:hAnsi="宋体" w:eastAsia="宋体" w:cs="宋体"/>
          <w:sz w:val="21"/>
          <w:szCs w:val="21"/>
          <w:lang w:val="en-US"/>
        </w:rPr>
      </w:pP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报价</w:t>
      </w:r>
    </w:p>
    <w:p>
      <w:pPr>
        <w:pStyle w:val="2"/>
        <w:numPr>
          <w:numId w:val="0"/>
        </w:numPr>
        <w:spacing w:line="360" w:lineRule="auto"/>
        <w:ind w:firstLine="420" w:firstLineChars="200"/>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8.1 </w:t>
      </w:r>
      <w:r>
        <w:rPr>
          <w:rFonts w:hint="eastAsia" w:ascii="宋体" w:hAnsi="宋体" w:eastAsia="宋体" w:cs="宋体"/>
          <w:sz w:val="21"/>
          <w:szCs w:val="21"/>
          <w:lang w:val="en-US"/>
        </w:rPr>
        <w:t>竞标文件按系统模块报价，报价表价格包含系统软硬件费用、产品安装、调试实施、培训费用、产品升级、</w:t>
      </w:r>
      <w:r>
        <w:rPr>
          <w:rFonts w:hint="eastAsia" w:ascii="宋体" w:hAnsi="宋体" w:eastAsia="宋体" w:cs="宋体"/>
          <w:color w:val="FF0000"/>
          <w:sz w:val="21"/>
          <w:szCs w:val="21"/>
          <w:lang w:val="en-US"/>
        </w:rPr>
        <w:t>接口费（包括</w:t>
      </w:r>
      <w:r>
        <w:rPr>
          <w:rFonts w:hint="eastAsia" w:ascii="宋体" w:hAnsi="宋体" w:eastAsia="宋体" w:cs="宋体"/>
          <w:color w:val="FF0000"/>
          <w:sz w:val="21"/>
          <w:szCs w:val="21"/>
          <w:lang w:val="en-US" w:eastAsia="zh-CN"/>
        </w:rPr>
        <w:t>支付给</w:t>
      </w:r>
      <w:r>
        <w:rPr>
          <w:rFonts w:hint="eastAsia" w:ascii="宋体" w:hAnsi="宋体" w:eastAsia="宋体" w:cs="宋体"/>
          <w:color w:val="FF0000"/>
          <w:sz w:val="21"/>
          <w:szCs w:val="21"/>
          <w:lang w:val="en-US"/>
        </w:rPr>
        <w:t>第三方厂家的接口费）</w:t>
      </w:r>
      <w:r>
        <w:rPr>
          <w:rFonts w:hint="eastAsia" w:ascii="宋体" w:hAnsi="宋体" w:eastAsia="宋体" w:cs="宋体"/>
          <w:sz w:val="21"/>
          <w:szCs w:val="21"/>
          <w:lang w:val="en-US"/>
        </w:rPr>
        <w:t>等费用，以及明示所有责任、义务和一切风险。</w:t>
      </w:r>
    </w:p>
    <w:p>
      <w:pPr>
        <w:pStyle w:val="2"/>
        <w:numPr>
          <w:numId w:val="0"/>
        </w:numPr>
        <w:spacing w:line="360" w:lineRule="auto"/>
        <w:ind w:left="420" w:leftChars="0"/>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8.2 </w:t>
      </w:r>
      <w:r>
        <w:rPr>
          <w:rFonts w:hint="eastAsia" w:ascii="宋体" w:hAnsi="宋体" w:eastAsia="宋体" w:cs="宋体"/>
          <w:sz w:val="21"/>
          <w:szCs w:val="21"/>
          <w:lang w:val="en-US"/>
        </w:rPr>
        <w:t>竞标文件需提供维保期后续保报价。</w:t>
      </w:r>
    </w:p>
    <w:p>
      <w:pPr>
        <w:pStyle w:val="2"/>
        <w:numPr>
          <w:numId w:val="0"/>
        </w:numPr>
        <w:spacing w:line="360" w:lineRule="auto"/>
        <w:ind w:left="420" w:leftChars="0"/>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8.3 </w:t>
      </w:r>
      <w:r>
        <w:rPr>
          <w:rFonts w:hint="eastAsia" w:ascii="宋体" w:hAnsi="宋体" w:eastAsia="宋体" w:cs="宋体"/>
          <w:sz w:val="21"/>
          <w:szCs w:val="21"/>
          <w:lang w:val="en-US"/>
        </w:rPr>
        <w:t>竞标文件需提供系统详细图文介绍。系统实施验收参照本技术文档及竞标文件提供的图文介绍为依据。</w:t>
      </w:r>
    </w:p>
    <w:p>
      <w:pPr>
        <w:pStyle w:val="2"/>
        <w:numPr>
          <w:ilvl w:val="0"/>
          <w:numId w:val="0"/>
        </w:numPr>
        <w:spacing w:line="360" w:lineRule="auto"/>
        <w:ind w:left="420" w:leftChars="0"/>
        <w:rPr>
          <w:rFonts w:hint="eastAsia" w:ascii="宋体" w:hAnsi="宋体" w:eastAsia="宋体" w:cs="宋体"/>
          <w:sz w:val="21"/>
          <w:szCs w:val="21"/>
          <w:lang w:val="en-US"/>
        </w:rPr>
      </w:pPr>
    </w:p>
    <w:p>
      <w:pPr>
        <w:pStyle w:val="10"/>
        <w:numPr>
          <w:ilvl w:val="0"/>
          <w:numId w:val="2"/>
        </w:numPr>
        <w:spacing w:line="360" w:lineRule="auto"/>
        <w:ind w:firstLineChars="0"/>
        <w:rPr>
          <w:rFonts w:hint="eastAsia" w:ascii="宋体" w:hAnsi="宋体" w:eastAsia="宋体" w:cs="宋体"/>
          <w:b/>
          <w:sz w:val="21"/>
          <w:szCs w:val="21"/>
        </w:rPr>
      </w:pPr>
      <w:r>
        <w:rPr>
          <w:rFonts w:hint="eastAsia" w:ascii="宋体" w:hAnsi="宋体" w:eastAsia="宋体" w:cs="宋体"/>
          <w:b/>
          <w:sz w:val="21"/>
          <w:szCs w:val="21"/>
        </w:rPr>
        <w:t>付款方式</w:t>
      </w:r>
      <w:bookmarkEnd w:id="2"/>
    </w:p>
    <w:bookmarkEnd w:id="3"/>
    <w:p>
      <w:pPr>
        <w:pStyle w:val="2"/>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项目</w:t>
      </w:r>
      <w:r>
        <w:rPr>
          <w:rFonts w:hint="eastAsia" w:ascii="宋体" w:hAnsi="宋体" w:eastAsia="宋体" w:cs="宋体"/>
          <w:sz w:val="21"/>
          <w:szCs w:val="21"/>
          <w:lang w:val="en-US"/>
        </w:rPr>
        <w:t>双方签订合同，项目上线稳定运行1个月后，</w:t>
      </w:r>
      <w:r>
        <w:rPr>
          <w:rFonts w:hint="eastAsia" w:ascii="宋体" w:hAnsi="宋体" w:eastAsia="宋体" w:cs="宋体"/>
          <w:sz w:val="21"/>
          <w:szCs w:val="21"/>
          <w:lang w:val="en-US" w:eastAsia="zh-CN"/>
        </w:rPr>
        <w:t>甲方</w:t>
      </w:r>
      <w:r>
        <w:rPr>
          <w:rFonts w:hint="eastAsia" w:ascii="宋体" w:hAnsi="宋体" w:eastAsia="宋体" w:cs="宋体"/>
          <w:sz w:val="21"/>
          <w:szCs w:val="21"/>
          <w:lang w:val="en-US"/>
        </w:rPr>
        <w:t>支付合同款项的30%；合同中的</w:t>
      </w:r>
      <w:r>
        <w:rPr>
          <w:rFonts w:hint="eastAsia" w:ascii="宋体" w:hAnsi="宋体" w:eastAsia="宋体" w:cs="宋体"/>
          <w:sz w:val="21"/>
          <w:szCs w:val="21"/>
          <w:lang w:val="en-US" w:eastAsia="zh-CN"/>
        </w:rPr>
        <w:t>所有</w:t>
      </w:r>
      <w:r>
        <w:rPr>
          <w:rFonts w:hint="eastAsia" w:ascii="宋体" w:hAnsi="宋体" w:eastAsia="宋体" w:cs="宋体"/>
          <w:sz w:val="21"/>
          <w:szCs w:val="21"/>
          <w:lang w:val="en-US"/>
        </w:rPr>
        <w:t>模块实施完毕，</w:t>
      </w:r>
      <w:r>
        <w:rPr>
          <w:rFonts w:hint="eastAsia" w:ascii="宋体" w:hAnsi="宋体" w:eastAsia="宋体" w:cs="宋体"/>
          <w:sz w:val="21"/>
          <w:szCs w:val="21"/>
          <w:lang w:val="en-US" w:eastAsia="zh-CN"/>
        </w:rPr>
        <w:t>系统</w:t>
      </w:r>
      <w:r>
        <w:rPr>
          <w:rFonts w:hint="eastAsia" w:ascii="宋体" w:hAnsi="宋体" w:eastAsia="宋体" w:cs="宋体"/>
          <w:sz w:val="21"/>
          <w:szCs w:val="21"/>
          <w:lang w:val="en-US"/>
        </w:rPr>
        <w:t>上线稳定运行3个月后，启动</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rPr>
        <w:t>验收，验收合格后</w:t>
      </w:r>
      <w:r>
        <w:rPr>
          <w:rFonts w:hint="eastAsia" w:ascii="宋体" w:hAnsi="宋体" w:eastAsia="宋体" w:cs="宋体"/>
          <w:sz w:val="21"/>
          <w:szCs w:val="21"/>
          <w:lang w:val="en-US" w:eastAsia="zh-CN"/>
        </w:rPr>
        <w:t>甲方支</w:t>
      </w:r>
      <w:r>
        <w:rPr>
          <w:rFonts w:hint="eastAsia" w:ascii="宋体" w:hAnsi="宋体" w:eastAsia="宋体" w:cs="宋体"/>
          <w:sz w:val="21"/>
          <w:szCs w:val="21"/>
          <w:lang w:val="en-US"/>
        </w:rPr>
        <w:t>付合同款项的60%；自</w:t>
      </w:r>
      <w:r>
        <w:rPr>
          <w:rFonts w:hint="eastAsia" w:ascii="宋体" w:hAnsi="宋体" w:eastAsia="宋体" w:cs="宋体"/>
          <w:sz w:val="21"/>
          <w:szCs w:val="21"/>
          <w:lang w:val="en-US" w:eastAsia="zh-CN"/>
        </w:rPr>
        <w:t>项目</w:t>
      </w:r>
      <w:r>
        <w:rPr>
          <w:rFonts w:hint="eastAsia" w:ascii="宋体" w:hAnsi="宋体" w:eastAsia="宋体" w:cs="宋体"/>
          <w:sz w:val="21"/>
          <w:szCs w:val="21"/>
          <w:lang w:val="en-US"/>
        </w:rPr>
        <w:t>验收合格之日起，</w:t>
      </w:r>
      <w:r>
        <w:rPr>
          <w:rFonts w:hint="eastAsia" w:ascii="宋体" w:hAnsi="宋体" w:eastAsia="宋体" w:cs="宋体"/>
          <w:sz w:val="21"/>
          <w:szCs w:val="21"/>
          <w:lang w:val="en-US" w:eastAsia="zh-CN"/>
        </w:rPr>
        <w:t>稳定运行</w:t>
      </w:r>
      <w:r>
        <w:rPr>
          <w:rFonts w:hint="eastAsia" w:ascii="宋体" w:hAnsi="宋体" w:eastAsia="宋体" w:cs="宋体"/>
          <w:sz w:val="21"/>
          <w:szCs w:val="21"/>
          <w:lang w:val="en-US"/>
        </w:rPr>
        <w:t>1年后</w:t>
      </w:r>
      <w:r>
        <w:rPr>
          <w:rFonts w:hint="eastAsia" w:ascii="宋体" w:hAnsi="宋体" w:eastAsia="宋体" w:cs="宋体"/>
          <w:sz w:val="21"/>
          <w:szCs w:val="21"/>
          <w:lang w:val="en-US" w:eastAsia="zh-CN"/>
        </w:rPr>
        <w:t>，甲方支</w:t>
      </w:r>
      <w:r>
        <w:rPr>
          <w:rFonts w:hint="eastAsia" w:ascii="宋体" w:hAnsi="宋体" w:eastAsia="宋体" w:cs="宋体"/>
          <w:sz w:val="21"/>
          <w:szCs w:val="21"/>
          <w:lang w:val="en-US"/>
        </w:rPr>
        <w:t>付合同款项</w:t>
      </w:r>
      <w:r>
        <w:rPr>
          <w:rFonts w:hint="eastAsia" w:ascii="宋体" w:hAnsi="宋体" w:eastAsia="宋体" w:cs="宋体"/>
          <w:sz w:val="21"/>
          <w:szCs w:val="21"/>
          <w:lang w:val="en-US" w:eastAsia="zh-CN"/>
        </w:rPr>
        <w:t>的</w:t>
      </w:r>
      <w:r>
        <w:rPr>
          <w:rFonts w:hint="eastAsia" w:ascii="宋体" w:hAnsi="宋体" w:eastAsia="宋体" w:cs="宋体"/>
          <w:sz w:val="21"/>
          <w:szCs w:val="21"/>
          <w:lang w:val="en-US"/>
        </w:rPr>
        <w:t>10%</w:t>
      </w:r>
      <w:r>
        <w:rPr>
          <w:rFonts w:hint="eastAsia" w:ascii="宋体" w:hAnsi="宋体" w:eastAsia="宋体" w:cs="宋体"/>
          <w:sz w:val="21"/>
          <w:szCs w:val="21"/>
          <w:lang w:val="en-US" w:eastAsia="zh-CN"/>
        </w:rPr>
        <w:t>（不计利息）</w:t>
      </w:r>
      <w:r>
        <w:rPr>
          <w:rFonts w:hint="eastAsia" w:ascii="宋体" w:hAnsi="宋体" w:eastAsia="宋体" w:cs="宋体"/>
          <w:sz w:val="21"/>
          <w:szCs w:val="21"/>
          <w:lang w:val="en-US"/>
        </w:rPr>
        <w:t>。</w:t>
      </w:r>
    </w:p>
    <w:p>
      <w:pPr>
        <w:pStyle w:val="2"/>
        <w:spacing w:line="360" w:lineRule="auto"/>
        <w:rPr>
          <w:rFonts w:hint="eastAsia" w:ascii="宋体" w:hAnsi="宋体" w:eastAsia="宋体" w:cs="宋体"/>
          <w:sz w:val="21"/>
          <w:szCs w:val="21"/>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E0D8B"/>
    <w:multiLevelType w:val="singleLevel"/>
    <w:tmpl w:val="833E0D8B"/>
    <w:lvl w:ilvl="0" w:tentative="0">
      <w:start w:val="1"/>
      <w:numFmt w:val="decimal"/>
      <w:lvlText w:val="(%1)"/>
      <w:lvlJc w:val="left"/>
      <w:pPr>
        <w:ind w:left="425" w:hanging="425"/>
      </w:pPr>
      <w:rPr>
        <w:rFonts w:hint="default"/>
      </w:rPr>
    </w:lvl>
  </w:abstractNum>
  <w:abstractNum w:abstractNumId="1">
    <w:nsid w:val="AAA6890D"/>
    <w:multiLevelType w:val="singleLevel"/>
    <w:tmpl w:val="AAA6890D"/>
    <w:lvl w:ilvl="0" w:tentative="0">
      <w:start w:val="1"/>
      <w:numFmt w:val="decimal"/>
      <w:lvlText w:val="(%1)"/>
      <w:lvlJc w:val="left"/>
      <w:pPr>
        <w:ind w:left="425" w:hanging="425"/>
      </w:pPr>
      <w:rPr>
        <w:rFonts w:hint="default"/>
      </w:rPr>
    </w:lvl>
  </w:abstractNum>
  <w:abstractNum w:abstractNumId="2">
    <w:nsid w:val="E9E1B20F"/>
    <w:multiLevelType w:val="singleLevel"/>
    <w:tmpl w:val="E9E1B20F"/>
    <w:lvl w:ilvl="0" w:tentative="0">
      <w:start w:val="1"/>
      <w:numFmt w:val="decimal"/>
      <w:lvlText w:val="(%1)"/>
      <w:lvlJc w:val="left"/>
      <w:pPr>
        <w:ind w:left="425" w:hanging="425"/>
      </w:pPr>
      <w:rPr>
        <w:rFonts w:hint="default"/>
      </w:rPr>
    </w:lvl>
  </w:abstractNum>
  <w:abstractNum w:abstractNumId="3">
    <w:nsid w:val="F753149B"/>
    <w:multiLevelType w:val="singleLevel"/>
    <w:tmpl w:val="F753149B"/>
    <w:lvl w:ilvl="0" w:tentative="0">
      <w:start w:val="1"/>
      <w:numFmt w:val="decimal"/>
      <w:lvlText w:val="(%1)"/>
      <w:lvlJc w:val="left"/>
      <w:pPr>
        <w:ind w:left="425" w:hanging="425"/>
      </w:pPr>
      <w:rPr>
        <w:rFonts w:hint="default"/>
      </w:rPr>
    </w:lvl>
  </w:abstractNum>
  <w:abstractNum w:abstractNumId="4">
    <w:nsid w:val="006A484B"/>
    <w:multiLevelType w:val="singleLevel"/>
    <w:tmpl w:val="006A484B"/>
    <w:lvl w:ilvl="0" w:tentative="0">
      <w:start w:val="1"/>
      <w:numFmt w:val="decimal"/>
      <w:lvlText w:val="(%1)"/>
      <w:lvlJc w:val="left"/>
      <w:pPr>
        <w:ind w:left="425" w:hanging="425"/>
      </w:pPr>
      <w:rPr>
        <w:rFonts w:hint="default"/>
      </w:rPr>
    </w:lvl>
  </w:abstractNum>
  <w:abstractNum w:abstractNumId="5">
    <w:nsid w:val="0A76A854"/>
    <w:multiLevelType w:val="singleLevel"/>
    <w:tmpl w:val="0A76A854"/>
    <w:lvl w:ilvl="0" w:tentative="0">
      <w:start w:val="1"/>
      <w:numFmt w:val="decimal"/>
      <w:lvlText w:val="(%1)"/>
      <w:lvlJc w:val="left"/>
      <w:pPr>
        <w:ind w:left="425" w:hanging="425"/>
      </w:pPr>
      <w:rPr>
        <w:rFonts w:hint="default"/>
      </w:rPr>
    </w:lvl>
  </w:abstractNum>
  <w:abstractNum w:abstractNumId="6">
    <w:nsid w:val="14D84B87"/>
    <w:multiLevelType w:val="multilevel"/>
    <w:tmpl w:val="14D84B87"/>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abstractNum w:abstractNumId="7">
    <w:nsid w:val="1E98554A"/>
    <w:multiLevelType w:val="singleLevel"/>
    <w:tmpl w:val="1E98554A"/>
    <w:lvl w:ilvl="0" w:tentative="0">
      <w:start w:val="1"/>
      <w:numFmt w:val="decimal"/>
      <w:lvlText w:val="(%1)"/>
      <w:lvlJc w:val="left"/>
      <w:pPr>
        <w:ind w:left="425" w:hanging="425"/>
      </w:pPr>
      <w:rPr>
        <w:rFonts w:hint="default"/>
      </w:rPr>
    </w:lvl>
  </w:abstractNum>
  <w:abstractNum w:abstractNumId="8">
    <w:nsid w:val="23EC5C6F"/>
    <w:multiLevelType w:val="multilevel"/>
    <w:tmpl w:val="23EC5C6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FAED4D4"/>
    <w:multiLevelType w:val="singleLevel"/>
    <w:tmpl w:val="4FAED4D4"/>
    <w:lvl w:ilvl="0" w:tentative="0">
      <w:start w:val="1"/>
      <w:numFmt w:val="decimal"/>
      <w:lvlText w:val="(%1)"/>
      <w:lvlJc w:val="left"/>
      <w:pPr>
        <w:ind w:left="425" w:hanging="425"/>
      </w:pPr>
      <w:rPr>
        <w:rFonts w:hint="default"/>
      </w:rPr>
    </w:lvl>
  </w:abstractNum>
  <w:abstractNum w:abstractNumId="10">
    <w:nsid w:val="5A8322EF"/>
    <w:multiLevelType w:val="singleLevel"/>
    <w:tmpl w:val="5A8322EF"/>
    <w:lvl w:ilvl="0" w:tentative="0">
      <w:start w:val="1"/>
      <w:numFmt w:val="decimal"/>
      <w:lvlText w:val="(%1)"/>
      <w:lvlJc w:val="left"/>
      <w:pPr>
        <w:ind w:left="425" w:hanging="425"/>
      </w:pPr>
      <w:rPr>
        <w:rFonts w:hint="default"/>
      </w:rPr>
    </w:lvl>
  </w:abstractNum>
  <w:abstractNum w:abstractNumId="11">
    <w:nsid w:val="6CD58EA5"/>
    <w:multiLevelType w:val="singleLevel"/>
    <w:tmpl w:val="6CD58EA5"/>
    <w:lvl w:ilvl="0" w:tentative="0">
      <w:start w:val="1"/>
      <w:numFmt w:val="decimal"/>
      <w:lvlText w:val="(%1)"/>
      <w:lvlJc w:val="left"/>
      <w:pPr>
        <w:ind w:left="425" w:hanging="425"/>
      </w:pPr>
      <w:rPr>
        <w:rFonts w:hint="default"/>
      </w:rPr>
    </w:lvl>
  </w:abstractNum>
  <w:abstractNum w:abstractNumId="12">
    <w:nsid w:val="6D69855D"/>
    <w:multiLevelType w:val="singleLevel"/>
    <w:tmpl w:val="6D69855D"/>
    <w:lvl w:ilvl="0" w:tentative="0">
      <w:start w:val="1"/>
      <w:numFmt w:val="decimal"/>
      <w:lvlText w:val="(%1)"/>
      <w:lvlJc w:val="left"/>
      <w:pPr>
        <w:ind w:left="425" w:hanging="425"/>
      </w:pPr>
      <w:rPr>
        <w:rFonts w:hint="default"/>
      </w:rPr>
    </w:lvl>
  </w:abstractNum>
  <w:abstractNum w:abstractNumId="13">
    <w:nsid w:val="78D07A16"/>
    <w:multiLevelType w:val="singleLevel"/>
    <w:tmpl w:val="78D07A16"/>
    <w:lvl w:ilvl="0" w:tentative="0">
      <w:start w:val="1"/>
      <w:numFmt w:val="decimal"/>
      <w:lvlText w:val="(%1)"/>
      <w:lvlJc w:val="left"/>
      <w:pPr>
        <w:ind w:left="425" w:hanging="425"/>
      </w:pPr>
      <w:rPr>
        <w:rFonts w:hint="default"/>
      </w:rPr>
    </w:lvl>
  </w:abstractNum>
  <w:abstractNum w:abstractNumId="14">
    <w:nsid w:val="7C7A136C"/>
    <w:multiLevelType w:val="singleLevel"/>
    <w:tmpl w:val="7C7A136C"/>
    <w:lvl w:ilvl="0" w:tentative="0">
      <w:start w:val="1"/>
      <w:numFmt w:val="decimal"/>
      <w:lvlText w:val="(%1)"/>
      <w:lvlJc w:val="left"/>
      <w:pPr>
        <w:ind w:left="425" w:hanging="425"/>
      </w:pPr>
      <w:rPr>
        <w:rFonts w:hint="default"/>
      </w:rPr>
    </w:lvl>
  </w:abstractNum>
  <w:num w:numId="1">
    <w:abstractNumId w:val="6"/>
  </w:num>
  <w:num w:numId="2">
    <w:abstractNumId w:val="8"/>
  </w:num>
  <w:num w:numId="3">
    <w:abstractNumId w:val="2"/>
  </w:num>
  <w:num w:numId="4">
    <w:abstractNumId w:val="10"/>
  </w:num>
  <w:num w:numId="5">
    <w:abstractNumId w:val="14"/>
  </w:num>
  <w:num w:numId="6">
    <w:abstractNumId w:val="9"/>
  </w:num>
  <w:num w:numId="7">
    <w:abstractNumId w:val="1"/>
  </w:num>
  <w:num w:numId="8">
    <w:abstractNumId w:val="0"/>
  </w:num>
  <w:num w:numId="9">
    <w:abstractNumId w:val="3"/>
  </w:num>
  <w:num w:numId="10">
    <w:abstractNumId w:val="13"/>
  </w:num>
  <w:num w:numId="11">
    <w:abstractNumId w:val="4"/>
  </w:num>
  <w:num w:numId="12">
    <w:abstractNumId w:val="5"/>
  </w:num>
  <w:num w:numId="13">
    <w:abstractNumId w:val="11"/>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hNTIwNWEyYmVkNjJkYWNjNmM2NWVlZjhhN2YyNWMifQ=="/>
  </w:docVars>
  <w:rsids>
    <w:rsidRoot w:val="003E62DF"/>
    <w:rsid w:val="00004FDE"/>
    <w:rsid w:val="00016928"/>
    <w:rsid w:val="00025816"/>
    <w:rsid w:val="000E2410"/>
    <w:rsid w:val="000E61A6"/>
    <w:rsid w:val="000F00F4"/>
    <w:rsid w:val="00143FAA"/>
    <w:rsid w:val="00150774"/>
    <w:rsid w:val="00170CBD"/>
    <w:rsid w:val="001942D5"/>
    <w:rsid w:val="001A11FC"/>
    <w:rsid w:val="001A1C12"/>
    <w:rsid w:val="001B0A46"/>
    <w:rsid w:val="002113CA"/>
    <w:rsid w:val="002A29C0"/>
    <w:rsid w:val="002B12E6"/>
    <w:rsid w:val="002D2F4A"/>
    <w:rsid w:val="00327BC7"/>
    <w:rsid w:val="003424F2"/>
    <w:rsid w:val="00342E5C"/>
    <w:rsid w:val="00354C1A"/>
    <w:rsid w:val="003A61C3"/>
    <w:rsid w:val="003B01D3"/>
    <w:rsid w:val="003E62DF"/>
    <w:rsid w:val="003F0F65"/>
    <w:rsid w:val="0040157D"/>
    <w:rsid w:val="00405C46"/>
    <w:rsid w:val="00426D1F"/>
    <w:rsid w:val="00435C7C"/>
    <w:rsid w:val="00481560"/>
    <w:rsid w:val="00481A5C"/>
    <w:rsid w:val="00491534"/>
    <w:rsid w:val="004A5621"/>
    <w:rsid w:val="004D3BA6"/>
    <w:rsid w:val="004F25AB"/>
    <w:rsid w:val="00551583"/>
    <w:rsid w:val="005536C1"/>
    <w:rsid w:val="005C331D"/>
    <w:rsid w:val="005D06A7"/>
    <w:rsid w:val="005D449A"/>
    <w:rsid w:val="006150E7"/>
    <w:rsid w:val="00630DB5"/>
    <w:rsid w:val="00633AAD"/>
    <w:rsid w:val="006414D3"/>
    <w:rsid w:val="006A3CAE"/>
    <w:rsid w:val="006C202C"/>
    <w:rsid w:val="006F00D4"/>
    <w:rsid w:val="00752210"/>
    <w:rsid w:val="007750F9"/>
    <w:rsid w:val="00777DF0"/>
    <w:rsid w:val="00785D79"/>
    <w:rsid w:val="00792917"/>
    <w:rsid w:val="00792C9A"/>
    <w:rsid w:val="007A4710"/>
    <w:rsid w:val="007B72DD"/>
    <w:rsid w:val="007E0F04"/>
    <w:rsid w:val="007F06D2"/>
    <w:rsid w:val="008260FA"/>
    <w:rsid w:val="00826E20"/>
    <w:rsid w:val="008430B9"/>
    <w:rsid w:val="00877AA9"/>
    <w:rsid w:val="008B7CD4"/>
    <w:rsid w:val="008C322F"/>
    <w:rsid w:val="008F2DE6"/>
    <w:rsid w:val="00947E5B"/>
    <w:rsid w:val="009659C4"/>
    <w:rsid w:val="009A157C"/>
    <w:rsid w:val="00A140D3"/>
    <w:rsid w:val="00A41B61"/>
    <w:rsid w:val="00A86A4C"/>
    <w:rsid w:val="00AF628F"/>
    <w:rsid w:val="00B53C15"/>
    <w:rsid w:val="00B73D51"/>
    <w:rsid w:val="00B759E0"/>
    <w:rsid w:val="00BA4D23"/>
    <w:rsid w:val="00BE197E"/>
    <w:rsid w:val="00BF7199"/>
    <w:rsid w:val="00C07B83"/>
    <w:rsid w:val="00C320FA"/>
    <w:rsid w:val="00C555A0"/>
    <w:rsid w:val="00C60352"/>
    <w:rsid w:val="00CB1034"/>
    <w:rsid w:val="00CB566F"/>
    <w:rsid w:val="00CC59B9"/>
    <w:rsid w:val="00CD3465"/>
    <w:rsid w:val="00CD71D1"/>
    <w:rsid w:val="00CE4D42"/>
    <w:rsid w:val="00D23859"/>
    <w:rsid w:val="00D5380E"/>
    <w:rsid w:val="00DC1FBB"/>
    <w:rsid w:val="00E10B1E"/>
    <w:rsid w:val="00E42593"/>
    <w:rsid w:val="00E61AD4"/>
    <w:rsid w:val="00E649EA"/>
    <w:rsid w:val="00E775CB"/>
    <w:rsid w:val="00E80701"/>
    <w:rsid w:val="00E826BE"/>
    <w:rsid w:val="00EA3B78"/>
    <w:rsid w:val="00EF65AB"/>
    <w:rsid w:val="00F13AA1"/>
    <w:rsid w:val="00F21544"/>
    <w:rsid w:val="00F32AE4"/>
    <w:rsid w:val="00F456DA"/>
    <w:rsid w:val="00FB5226"/>
    <w:rsid w:val="00FD36C8"/>
    <w:rsid w:val="038608DA"/>
    <w:rsid w:val="05D96B97"/>
    <w:rsid w:val="063E725B"/>
    <w:rsid w:val="06DF14B2"/>
    <w:rsid w:val="08EB6C4F"/>
    <w:rsid w:val="08F41322"/>
    <w:rsid w:val="09D92B58"/>
    <w:rsid w:val="0A4A5BF8"/>
    <w:rsid w:val="0B521208"/>
    <w:rsid w:val="0BBB5F65"/>
    <w:rsid w:val="0C0C617A"/>
    <w:rsid w:val="109B068D"/>
    <w:rsid w:val="13853429"/>
    <w:rsid w:val="14782DB8"/>
    <w:rsid w:val="14AF00BD"/>
    <w:rsid w:val="15227917"/>
    <w:rsid w:val="153D4F2B"/>
    <w:rsid w:val="165C1DAE"/>
    <w:rsid w:val="16ED2D59"/>
    <w:rsid w:val="17536FF6"/>
    <w:rsid w:val="17B31F3A"/>
    <w:rsid w:val="19151124"/>
    <w:rsid w:val="1A251034"/>
    <w:rsid w:val="1AA944D3"/>
    <w:rsid w:val="1B5C436C"/>
    <w:rsid w:val="1B91509A"/>
    <w:rsid w:val="1D9262D5"/>
    <w:rsid w:val="1E205195"/>
    <w:rsid w:val="1FA23C4C"/>
    <w:rsid w:val="20D56BF9"/>
    <w:rsid w:val="21362B1E"/>
    <w:rsid w:val="214654EA"/>
    <w:rsid w:val="217338CC"/>
    <w:rsid w:val="22293C01"/>
    <w:rsid w:val="224243ED"/>
    <w:rsid w:val="22441A8B"/>
    <w:rsid w:val="225F3607"/>
    <w:rsid w:val="23682AA5"/>
    <w:rsid w:val="23A61C99"/>
    <w:rsid w:val="24955D62"/>
    <w:rsid w:val="25D43FBF"/>
    <w:rsid w:val="278109C2"/>
    <w:rsid w:val="2B6A72B9"/>
    <w:rsid w:val="2E2E450B"/>
    <w:rsid w:val="2EB51F8F"/>
    <w:rsid w:val="30853064"/>
    <w:rsid w:val="31DF39A3"/>
    <w:rsid w:val="32335040"/>
    <w:rsid w:val="323A0394"/>
    <w:rsid w:val="32AA0452"/>
    <w:rsid w:val="33AB4E99"/>
    <w:rsid w:val="35BC534C"/>
    <w:rsid w:val="367C6048"/>
    <w:rsid w:val="367D4F11"/>
    <w:rsid w:val="384F4255"/>
    <w:rsid w:val="391664EA"/>
    <w:rsid w:val="39853666"/>
    <w:rsid w:val="3A375DFB"/>
    <w:rsid w:val="3A965B44"/>
    <w:rsid w:val="3BE57EB5"/>
    <w:rsid w:val="3E877D39"/>
    <w:rsid w:val="3EF122C9"/>
    <w:rsid w:val="3FFE146B"/>
    <w:rsid w:val="40301A25"/>
    <w:rsid w:val="40305875"/>
    <w:rsid w:val="41971DBD"/>
    <w:rsid w:val="42E86041"/>
    <w:rsid w:val="46FB32E9"/>
    <w:rsid w:val="480C0CC5"/>
    <w:rsid w:val="49C017DB"/>
    <w:rsid w:val="4C2E48E0"/>
    <w:rsid w:val="4F907935"/>
    <w:rsid w:val="508670F0"/>
    <w:rsid w:val="50A873B9"/>
    <w:rsid w:val="52C84CF5"/>
    <w:rsid w:val="54361EC0"/>
    <w:rsid w:val="54E82BB7"/>
    <w:rsid w:val="553204A5"/>
    <w:rsid w:val="55B43D13"/>
    <w:rsid w:val="5A334C18"/>
    <w:rsid w:val="5A793C81"/>
    <w:rsid w:val="5C6164F3"/>
    <w:rsid w:val="5C987B5F"/>
    <w:rsid w:val="5EEF047E"/>
    <w:rsid w:val="63EF6D4C"/>
    <w:rsid w:val="65DB6174"/>
    <w:rsid w:val="6635692F"/>
    <w:rsid w:val="67234BE8"/>
    <w:rsid w:val="68B72934"/>
    <w:rsid w:val="69A9737D"/>
    <w:rsid w:val="6A4813FA"/>
    <w:rsid w:val="6C0C7835"/>
    <w:rsid w:val="6DF66DF1"/>
    <w:rsid w:val="6FC211D5"/>
    <w:rsid w:val="701D72C9"/>
    <w:rsid w:val="711C77D0"/>
    <w:rsid w:val="73F71B2F"/>
    <w:rsid w:val="73FE0302"/>
    <w:rsid w:val="74886D8A"/>
    <w:rsid w:val="75D87698"/>
    <w:rsid w:val="78CA1E86"/>
    <w:rsid w:val="7AB427B8"/>
    <w:rsid w:val="7AC908E5"/>
    <w:rsid w:val="7B7B29CB"/>
    <w:rsid w:val="7B8437E3"/>
    <w:rsid w:val="7C81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3"/>
    <w:basedOn w:val="1"/>
    <w:next w:val="1"/>
    <w:link w:val="14"/>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kern w:val="0"/>
      <w:sz w:val="20"/>
      <w:szCs w:val="24"/>
      <w:lang w:val="zh-CN"/>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p15"/>
    <w:basedOn w:val="1"/>
    <w:qFormat/>
    <w:uiPriority w:val="0"/>
    <w:pPr>
      <w:widowControl/>
      <w:ind w:firstLine="420"/>
    </w:pPr>
    <w:rPr>
      <w:kern w:val="0"/>
      <w:szCs w:val="21"/>
    </w:rPr>
  </w:style>
  <w:style w:type="character" w:customStyle="1" w:styleId="12">
    <w:name w:val="页眉 字符"/>
    <w:basedOn w:val="9"/>
    <w:link w:val="6"/>
    <w:qFormat/>
    <w:uiPriority w:val="99"/>
    <w:rPr>
      <w:rFonts w:asciiTheme="minorHAnsi" w:hAnsiTheme="minorHAnsi" w:eastAsiaTheme="minorEastAsia" w:cstheme="minorBidi"/>
      <w:kern w:val="2"/>
      <w:sz w:val="18"/>
      <w:szCs w:val="18"/>
    </w:rPr>
  </w:style>
  <w:style w:type="character" w:customStyle="1" w:styleId="13">
    <w:name w:val="页脚 字符"/>
    <w:basedOn w:val="9"/>
    <w:link w:val="5"/>
    <w:qFormat/>
    <w:uiPriority w:val="0"/>
    <w:rPr>
      <w:rFonts w:asciiTheme="minorHAnsi" w:hAnsiTheme="minorHAnsi" w:eastAsiaTheme="minorEastAsia" w:cstheme="minorBidi"/>
      <w:kern w:val="2"/>
      <w:sz w:val="18"/>
      <w:szCs w:val="18"/>
    </w:rPr>
  </w:style>
  <w:style w:type="character" w:customStyle="1" w:styleId="14">
    <w:name w:val="标题 3 字符"/>
    <w:basedOn w:val="9"/>
    <w:link w:val="4"/>
    <w:semiHidden/>
    <w:qFormat/>
    <w:uiPriority w:val="0"/>
    <w:rPr>
      <w:rFonts w:asciiTheme="minorHAnsi" w:hAnsiTheme="minorHAnsi" w:eastAsiaTheme="minorEastAsia" w:cstheme="minorBidi"/>
      <w:b/>
      <w:bCs/>
      <w:kern w:val="2"/>
      <w:sz w:val="32"/>
      <w:szCs w:val="32"/>
    </w:rPr>
  </w:style>
  <w:style w:type="paragraph" w:customStyle="1" w:styleId="15">
    <w:name w:val="表格 - 正文"/>
    <w:basedOn w:val="1"/>
    <w:qFormat/>
    <w:uiPriority w:val="0"/>
    <w:pPr>
      <w:snapToGrid w:val="0"/>
      <w:spacing w:before="120" w:after="120" w:line="360" w:lineRule="auto"/>
    </w:pPr>
    <w:rPr>
      <w:rFonts w:ascii="Times New Roman" w:hAnsi="Times New Roman" w:eastAsia="微软雅黑" w:cs="宋体"/>
      <w:szCs w:val="20"/>
    </w:rPr>
  </w:style>
  <w:style w:type="paragraph" w:customStyle="1" w:styleId="16">
    <w:name w:val="Table Paragraph"/>
    <w:basedOn w:val="1"/>
    <w:qFormat/>
    <w:uiPriority w:val="1"/>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7204</Words>
  <Characters>7336</Characters>
  <Lines>55</Lines>
  <Paragraphs>15</Paragraphs>
  <TotalTime>10</TotalTime>
  <ScaleCrop>false</ScaleCrop>
  <LinksUpToDate>false</LinksUpToDate>
  <CharactersWithSpaces>7381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2022-03-17T02:25:00Z</dcterms:created>
  <dc:creator>LGYY-USER</dc:creator>
  <cp:lastModifiedBy>阿信</cp:lastModifiedBy>
  <dcterms:modified xsi:type="dcterms:W3CDTF">2022-05-14T08:17:22Z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5DD45ED8E845404B88422E44C139FA5A</vt:lpwstr>
  </property>
</Properties>
</file>