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napToGrid w:val="0"/>
        <w:spacing w:line="360" w:lineRule="auto"/>
        <w:jc w:val="center"/>
        <w:rPr>
          <w:rFonts w:hint="eastAsia" w:ascii="宋体" w:hAnsi="宋体" w:cs="宋体"/>
          <w:b/>
          <w:bCs/>
          <w:sz w:val="32"/>
          <w:szCs w:val="32"/>
          <w:lang w:val="en-US" w:eastAsia="zh-CN"/>
        </w:rPr>
      </w:pPr>
      <w:bookmarkStart w:id="0" w:name="OLE_LINK4"/>
      <w:bookmarkStart w:id="1" w:name="_Toc344816509"/>
      <w:r>
        <w:rPr>
          <w:rFonts w:hint="eastAsia" w:ascii="宋体" w:hAnsi="宋体" w:eastAsia="宋体" w:cs="微软雅黑"/>
          <w:b/>
          <w:bCs/>
          <w:kern w:val="44"/>
          <w:sz w:val="30"/>
          <w:szCs w:val="30"/>
        </w:rPr>
        <w:t>柳州市</w:t>
      </w:r>
      <w:r>
        <w:rPr>
          <w:rFonts w:ascii="宋体" w:hAnsi="宋体" w:eastAsia="宋体" w:cs="微软雅黑"/>
          <w:b/>
          <w:bCs/>
          <w:kern w:val="44"/>
          <w:sz w:val="30"/>
          <w:szCs w:val="30"/>
        </w:rPr>
        <w:t>工人医院</w:t>
      </w:r>
      <w:bookmarkStart w:id="2" w:name="OLE_LINK15"/>
      <w:r>
        <w:rPr>
          <w:rFonts w:hint="eastAsia" w:ascii="宋体" w:hAnsi="宋体" w:cs="宋体"/>
          <w:b/>
          <w:bCs/>
          <w:sz w:val="30"/>
          <w:szCs w:val="30"/>
          <w:lang w:eastAsia="zh-CN"/>
        </w:rPr>
        <w:t>医学图像存储传输系统</w:t>
      </w:r>
      <w:r>
        <w:rPr>
          <w:rFonts w:hint="eastAsia" w:ascii="宋体" w:hAnsi="宋体" w:cs="宋体"/>
          <w:b/>
          <w:bCs/>
          <w:sz w:val="32"/>
          <w:szCs w:val="32"/>
          <w:lang w:val="en-US" w:eastAsia="zh-CN"/>
        </w:rPr>
        <w:t>(MEMRS-NM工作站)</w:t>
      </w:r>
    </w:p>
    <w:p>
      <w:pPr>
        <w:wordWrap w:val="0"/>
        <w:topLinePunct/>
        <w:snapToGrid w:val="0"/>
        <w:spacing w:line="360" w:lineRule="auto"/>
        <w:jc w:val="center"/>
        <w:rPr>
          <w:rFonts w:hint="eastAsia" w:ascii="宋体" w:hAnsi="宋体" w:cs="宋体"/>
          <w:b/>
          <w:bCs/>
          <w:sz w:val="30"/>
          <w:szCs w:val="30"/>
          <w:lang w:eastAsia="zh-CN"/>
        </w:rPr>
      </w:pPr>
      <w:bookmarkStart w:id="9" w:name="_GoBack"/>
      <w:bookmarkEnd w:id="9"/>
      <w:r>
        <w:rPr>
          <w:rFonts w:hint="eastAsia" w:ascii="宋体" w:hAnsi="宋体" w:cs="宋体"/>
          <w:b/>
          <w:bCs/>
          <w:sz w:val="30"/>
          <w:szCs w:val="30"/>
          <w:lang w:eastAsia="zh-CN"/>
        </w:rPr>
        <w:t>技术参数要求</w:t>
      </w:r>
    </w:p>
    <w:bookmarkEnd w:id="0"/>
    <w:bookmarkEnd w:id="2"/>
    <w:p>
      <w:pPr>
        <w:keepNext/>
        <w:keepLines/>
        <w:ind w:left="420" w:leftChars="200"/>
        <w:jc w:val="left"/>
        <w:rPr>
          <w:rFonts w:ascii="宋体" w:hAnsi="宋体" w:eastAsia="宋体" w:cs="微软雅黑"/>
          <w:b/>
          <w:bCs/>
          <w:kern w:val="44"/>
          <w:sz w:val="24"/>
          <w:szCs w:val="24"/>
        </w:rPr>
      </w:pPr>
    </w:p>
    <w:bookmarkEnd w:id="1"/>
    <w:p>
      <w:pPr>
        <w:pStyle w:val="9"/>
        <w:numPr>
          <w:ilvl w:val="0"/>
          <w:numId w:val="2"/>
        </w:numPr>
        <w:ind w:firstLineChars="0"/>
        <w:rPr>
          <w:rFonts w:ascii="宋体" w:hAnsi="宋体" w:eastAsia="宋体"/>
          <w:b/>
          <w:sz w:val="28"/>
          <w:szCs w:val="28"/>
        </w:rPr>
      </w:pPr>
      <w:r>
        <w:rPr>
          <w:rFonts w:hint="eastAsia" w:ascii="宋体" w:hAnsi="宋体" w:eastAsia="宋体"/>
          <w:b/>
          <w:sz w:val="28"/>
          <w:szCs w:val="28"/>
        </w:rPr>
        <w:t>项目背景</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MEMRS 核医学综合信息管理系统是在不断的吸收国内知名医院的需求完善而成的核医学综合信息管理平台。</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该平台为核医学科提供了一套完整先进的数字化管理解决方案，在核医学科各个工作环节处都配备了差异化的站点软件，将完整的核医学诊断流程进行全面管理，并针对技术质控过程提供管理和统计工具，建立成包括了患者信息、检查图像、诊断报告、病史信息、药物信息、注射信息、随访信息的大型综合资料库，从而成为各大型核医学科、PET-CT中心强化质控管理和资料管理的有力工具。</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该平台提供了与PET-CT/SPECT-CT原机相类似的图像融合处理工作站，从而改变过去一台后处理工作站无法满足科室大量患者检查、多个医生同时工作的需求。极大的提高科室工作效率与工作质量。</w:t>
      </w:r>
    </w:p>
    <w:p>
      <w:pPr>
        <w:spacing w:line="360" w:lineRule="auto"/>
        <w:ind w:firstLine="425"/>
        <w:rPr>
          <w:rFonts w:hint="eastAsia" w:ascii="宋体" w:hAnsi="宋体" w:eastAsia="宋体" w:cs="宋体"/>
          <w:sz w:val="24"/>
          <w:szCs w:val="24"/>
        </w:rPr>
      </w:pPr>
      <w:r>
        <w:rPr>
          <w:rFonts w:hint="eastAsia" w:ascii="宋体" w:hAnsi="宋体" w:eastAsia="宋体" w:cs="宋体"/>
          <w:sz w:val="24"/>
          <w:szCs w:val="24"/>
        </w:rPr>
        <w:t>MEMRS核医学综合信息管理系统在国内已经得到广泛应用，收集整理了大量高端医院的知识库模板，与信息系统相匹配的专家模板、诊断库、报告模板等具有很好的可借鉴性。可快速帮助科室进入高标准的信息化工作模式，并切实的为患者带来好处，也提高科室的工作效率与质量。</w:t>
      </w:r>
    </w:p>
    <w:p>
      <w:pPr>
        <w:pStyle w:val="9"/>
        <w:spacing w:line="480" w:lineRule="auto"/>
        <w:ind w:firstLine="0" w:firstLineChars="0"/>
        <w:rPr>
          <w:rFonts w:ascii="宋体" w:hAnsi="宋体" w:eastAsia="宋体"/>
          <w:sz w:val="24"/>
          <w:szCs w:val="24"/>
        </w:rPr>
      </w:pPr>
      <w:r>
        <w:rPr>
          <w:rFonts w:hint="eastAsia" w:ascii="宋体" w:hAnsi="宋体" w:eastAsia="宋体"/>
          <w:b/>
          <w:sz w:val="28"/>
          <w:szCs w:val="28"/>
        </w:rPr>
        <w:t>二、项目建设内容及要求</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080"/>
        <w:gridCol w:w="1155"/>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4" w:type="dxa"/>
          </w:tcPr>
          <w:p>
            <w:pPr>
              <w:jc w:val="center"/>
              <w:rPr>
                <w:rFonts w:hint="eastAsia" w:eastAsia="宋体"/>
                <w:vertAlign w:val="baseline"/>
                <w:lang w:eastAsia="zh-CN"/>
              </w:rPr>
            </w:pPr>
            <w:r>
              <w:rPr>
                <w:rFonts w:hint="eastAsia"/>
                <w:vertAlign w:val="baseline"/>
                <w:lang w:eastAsia="zh-CN"/>
              </w:rPr>
              <w:t>序号</w:t>
            </w:r>
          </w:p>
        </w:tc>
        <w:tc>
          <w:tcPr>
            <w:tcW w:w="1080" w:type="dxa"/>
          </w:tcPr>
          <w:p>
            <w:pPr>
              <w:jc w:val="center"/>
              <w:rPr>
                <w:rFonts w:hint="eastAsia" w:eastAsia="宋体"/>
                <w:vertAlign w:val="baseline"/>
                <w:lang w:eastAsia="zh-CN"/>
              </w:rPr>
            </w:pPr>
            <w:r>
              <w:rPr>
                <w:rFonts w:hint="eastAsia"/>
                <w:vertAlign w:val="baseline"/>
                <w:lang w:eastAsia="zh-CN"/>
              </w:rPr>
              <w:t>模块</w:t>
            </w:r>
          </w:p>
        </w:tc>
        <w:tc>
          <w:tcPr>
            <w:tcW w:w="1155" w:type="dxa"/>
          </w:tcPr>
          <w:p>
            <w:pPr>
              <w:jc w:val="center"/>
              <w:rPr>
                <w:rFonts w:hint="eastAsia" w:eastAsia="宋体"/>
                <w:vertAlign w:val="baseline"/>
                <w:lang w:eastAsia="zh-CN"/>
              </w:rPr>
            </w:pPr>
            <w:r>
              <w:rPr>
                <w:rFonts w:hint="eastAsia"/>
                <w:vertAlign w:val="baseline"/>
                <w:lang w:eastAsia="zh-CN"/>
              </w:rPr>
              <w:t>功能</w:t>
            </w:r>
          </w:p>
        </w:tc>
        <w:tc>
          <w:tcPr>
            <w:tcW w:w="5573" w:type="dxa"/>
          </w:tcPr>
          <w:p>
            <w:pPr>
              <w:jc w:val="center"/>
              <w:rPr>
                <w:rFonts w:hint="eastAsia" w:eastAsia="宋体"/>
                <w:vertAlign w:val="baseline"/>
                <w:lang w:eastAsia="zh-CN"/>
              </w:rPr>
            </w:pPr>
            <w:r>
              <w:rPr>
                <w:rFonts w:hint="eastAsia"/>
                <w:vertAlign w:val="baseline"/>
                <w:lang w:eastAsia="zh-CN"/>
              </w:rPr>
              <w:t>内涵描述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restart"/>
          </w:tcPr>
          <w:p>
            <w:pPr>
              <w:rPr>
                <w:rFonts w:hint="eastAsia" w:eastAsia="宋体"/>
                <w:vertAlign w:val="baseline"/>
                <w:lang w:val="en-US" w:eastAsia="zh-CN"/>
              </w:rPr>
            </w:pPr>
            <w:r>
              <w:rPr>
                <w:rFonts w:hint="eastAsia"/>
                <w:vertAlign w:val="baseline"/>
                <w:lang w:val="en-US" w:eastAsia="zh-CN"/>
              </w:rPr>
              <w:t>1</w:t>
            </w:r>
          </w:p>
        </w:tc>
        <w:tc>
          <w:tcPr>
            <w:tcW w:w="1080" w:type="dxa"/>
            <w:vMerge w:val="restart"/>
          </w:tcPr>
          <w:p>
            <w:pPr>
              <w:rPr>
                <w:vertAlign w:val="baseline"/>
              </w:rPr>
            </w:pPr>
            <w:bookmarkStart w:id="3" w:name="OLE_LINK1"/>
            <w:r>
              <w:rPr>
                <w:rFonts w:hint="eastAsia" w:ascii="宋体" w:hAnsi="宋体" w:cs="宋体"/>
                <w:b/>
                <w:bCs/>
                <w:sz w:val="30"/>
                <w:szCs w:val="30"/>
                <w:lang w:eastAsia="zh-CN"/>
              </w:rPr>
              <w:t>医学图像存储传输系统</w:t>
            </w:r>
            <w:bookmarkEnd w:id="3"/>
          </w:p>
        </w:tc>
        <w:tc>
          <w:tcPr>
            <w:tcW w:w="1155" w:type="dxa"/>
          </w:tcPr>
          <w:p>
            <w:pPr>
              <w:rPr>
                <w:vertAlign w:val="baseline"/>
              </w:rPr>
            </w:pPr>
            <w:r>
              <w:rPr>
                <w:rFonts w:hint="eastAsia" w:ascii="宋体" w:hAnsi="宋体" w:cs="宋体"/>
                <w:b/>
                <w:bCs/>
                <w:szCs w:val="21"/>
              </w:rPr>
              <w:t>1、</w:t>
            </w:r>
            <w:bookmarkStart w:id="4" w:name="OLE_LINK2"/>
            <w:r>
              <w:rPr>
                <w:rFonts w:hint="eastAsia" w:ascii="宋体" w:hAnsi="宋体" w:cs="宋体"/>
                <w:b/>
                <w:bCs/>
                <w:szCs w:val="21"/>
              </w:rPr>
              <w:t>PET-CT图像融合处理</w:t>
            </w:r>
            <w:bookmarkEnd w:id="4"/>
          </w:p>
        </w:tc>
        <w:tc>
          <w:tcPr>
            <w:tcW w:w="5573" w:type="dxa"/>
          </w:tcPr>
          <w:p>
            <w:pPr>
              <w:wordWrap w:val="0"/>
              <w:topLinePunct/>
              <w:snapToGrid w:val="0"/>
              <w:spacing w:line="360" w:lineRule="auto"/>
              <w:rPr>
                <w:rFonts w:ascii="宋体" w:hAnsi="宋体" w:cs="宋体"/>
                <w:szCs w:val="21"/>
              </w:rPr>
            </w:pPr>
            <w:bookmarkStart w:id="5" w:name="OLE_LINK3"/>
            <w:r>
              <w:rPr>
                <w:rFonts w:hint="eastAsia" w:ascii="宋体" w:hAnsi="宋体" w:cs="宋体"/>
                <w:szCs w:val="21"/>
              </w:rPr>
              <w:t>1.1、支持图像重组：对PET-CT、PET-MR及核磁图像进行重组显示，并对比显示PET、CT、MR、FUSED图像的横切面、矢状面和冠状面。提供＞20种影像显示模式</w:t>
            </w:r>
            <w:r>
              <w:rPr>
                <w:rFonts w:hint="eastAsia" w:ascii="宋体" w:hAnsi="宋体" w:cs="宋体"/>
                <w:szCs w:val="21"/>
                <w:lang w:eastAsia="zh-CN"/>
              </w:rPr>
              <w:t>（</w:t>
            </w:r>
            <w:r>
              <w:rPr>
                <w:rFonts w:hint="eastAsia" w:ascii="宋体" w:hAnsi="宋体" w:cs="宋体"/>
                <w:szCs w:val="21"/>
              </w:rPr>
              <w:t>要求提供图像融合处理软件著作权证</w:t>
            </w:r>
            <w:r>
              <w:rPr>
                <w:rFonts w:hint="eastAsia" w:ascii="宋体" w:hAnsi="宋体" w:cs="宋体"/>
                <w:szCs w:val="21"/>
                <w:lang w:eastAsia="zh-CN"/>
              </w:rPr>
              <w:t>等证明文件）</w:t>
            </w:r>
            <w:r>
              <w:rPr>
                <w:rFonts w:hint="eastAsia" w:ascii="宋体" w:hAnsi="宋体" w:cs="宋体"/>
                <w:szCs w:val="21"/>
              </w:rPr>
              <w:t>；</w:t>
            </w:r>
          </w:p>
          <w:p>
            <w:pPr>
              <w:wordWrap w:val="0"/>
              <w:topLinePunct/>
              <w:snapToGrid w:val="0"/>
              <w:spacing w:line="360" w:lineRule="auto"/>
              <w:rPr>
                <w:rFonts w:ascii="宋体" w:hAnsi="宋体" w:cs="宋体"/>
                <w:szCs w:val="21"/>
              </w:rPr>
            </w:pPr>
            <w:r>
              <w:rPr>
                <w:rFonts w:hint="eastAsia" w:ascii="宋体" w:hAnsi="宋体" w:cs="宋体"/>
                <w:szCs w:val="21"/>
              </w:rPr>
              <w:t>1.2、支持图像融合：对PET-CT、PET-MR图像的横切面、矢状面和冠状面进行融合，融合比例可调；</w:t>
            </w:r>
          </w:p>
          <w:p>
            <w:pPr>
              <w:wordWrap w:val="0"/>
              <w:topLinePunct/>
              <w:snapToGrid w:val="0"/>
              <w:spacing w:line="360" w:lineRule="auto"/>
              <w:rPr>
                <w:rFonts w:ascii="宋体" w:hAnsi="宋体" w:cs="宋体"/>
                <w:szCs w:val="21"/>
              </w:rPr>
            </w:pPr>
            <w:r>
              <w:rPr>
                <w:rFonts w:hint="eastAsia" w:ascii="宋体" w:hAnsi="宋体" w:cs="宋体"/>
                <w:szCs w:val="21"/>
              </w:rPr>
              <w:t>1.3、支持图像的任意多角度重建，可通过旋转图像或旋转定位线的方式对PETCT图像进行斜面重组，医生可多角度多侧面观察病灶；</w:t>
            </w:r>
          </w:p>
          <w:p>
            <w:pPr>
              <w:wordWrap w:val="0"/>
              <w:topLinePunct/>
              <w:snapToGrid w:val="0"/>
              <w:spacing w:line="360" w:lineRule="auto"/>
              <w:rPr>
                <w:rFonts w:ascii="宋体" w:hAnsi="宋体" w:cs="宋体"/>
                <w:szCs w:val="21"/>
              </w:rPr>
            </w:pPr>
            <w:r>
              <w:rPr>
                <w:rFonts w:hint="eastAsia" w:ascii="宋体" w:hAnsi="宋体" w:cs="宋体"/>
                <w:szCs w:val="21"/>
              </w:rPr>
              <w:t>1.4、应具有脑PET图像正位功能，对于经常发生的患者头部PET摆位不正的情况，支持软件中对脑PET进行重新位置校正，校正后的图像进行多平面重组，确保图像的准确与位置的适中；</w:t>
            </w:r>
          </w:p>
          <w:p>
            <w:pPr>
              <w:wordWrap w:val="0"/>
              <w:topLinePunct/>
              <w:snapToGrid w:val="0"/>
              <w:spacing w:line="360" w:lineRule="auto"/>
              <w:rPr>
                <w:rFonts w:ascii="宋体" w:hAnsi="宋体" w:cs="宋体"/>
                <w:szCs w:val="21"/>
              </w:rPr>
            </w:pPr>
            <w:r>
              <w:rPr>
                <w:rFonts w:hint="eastAsia" w:ascii="宋体" w:hAnsi="宋体" w:cs="宋体"/>
                <w:szCs w:val="21"/>
              </w:rPr>
              <w:t>1.5、应具有多次检查融合图像同屏对比功能：患者多次检查的同屏对比功能，可方便查看一个患者的多次检查图像。至少可支持六次检查影像的同屏对比。且可任意修改显示模式；</w:t>
            </w:r>
          </w:p>
          <w:p>
            <w:pPr>
              <w:wordWrap w:val="0"/>
              <w:topLinePunct/>
              <w:snapToGrid w:val="0"/>
              <w:spacing w:line="360" w:lineRule="auto"/>
              <w:rPr>
                <w:rFonts w:ascii="宋体" w:hAnsi="宋体" w:cs="宋体"/>
                <w:szCs w:val="21"/>
              </w:rPr>
            </w:pPr>
            <w:r>
              <w:rPr>
                <w:rFonts w:hint="eastAsia" w:ascii="宋体" w:hAnsi="宋体" w:cs="宋体"/>
                <w:szCs w:val="21"/>
              </w:rPr>
              <w:t>1.6、支持肿瘤对比影像的同步调整：多次检查可连动调整，拖动某一检查的影像序列与位置，其它检查自动同步定位；</w:t>
            </w:r>
          </w:p>
          <w:p>
            <w:pPr>
              <w:wordWrap w:val="0"/>
              <w:topLinePunct/>
              <w:snapToGrid w:val="0"/>
              <w:spacing w:line="360" w:lineRule="auto"/>
              <w:rPr>
                <w:rFonts w:ascii="宋体" w:hAnsi="宋体" w:cs="宋体"/>
                <w:szCs w:val="21"/>
              </w:rPr>
            </w:pPr>
            <w:r>
              <w:rPr>
                <w:rFonts w:hint="eastAsia" w:ascii="宋体" w:hAnsi="宋体" w:cs="宋体"/>
                <w:szCs w:val="21"/>
              </w:rPr>
              <w:t>1.7、支持肿瘤对比影像的同部位SUV联动测量：在一次检查的影像上勾画SUV值测量感兴区，自动在其它检查上同部位勾画相同区域，确保对相同肿瘤部位进行对比评估，避免两次手动勾画的误差；</w:t>
            </w:r>
          </w:p>
          <w:p>
            <w:pPr>
              <w:wordWrap w:val="0"/>
              <w:topLinePunct/>
              <w:snapToGrid w:val="0"/>
              <w:spacing w:line="360" w:lineRule="auto"/>
              <w:rPr>
                <w:rFonts w:ascii="宋体" w:hAnsi="宋体" w:cs="宋体"/>
                <w:szCs w:val="21"/>
              </w:rPr>
            </w:pPr>
            <w:r>
              <w:rPr>
                <w:rFonts w:hint="eastAsia" w:ascii="宋体" w:hAnsi="宋体" w:cs="宋体"/>
                <w:szCs w:val="21"/>
              </w:rPr>
              <w:t>1.8、具有多区域病灶智能识别功能：通过设定一个SUV值，系统自动将PET图像上SUV值超出该值范围的区域以高亮颜色显示，辅助医生快速定位所有的病变区域；</w:t>
            </w:r>
          </w:p>
          <w:p>
            <w:pPr>
              <w:wordWrap w:val="0"/>
              <w:topLinePunct/>
              <w:snapToGrid w:val="0"/>
              <w:spacing w:line="360" w:lineRule="auto"/>
              <w:rPr>
                <w:rFonts w:ascii="宋体" w:hAnsi="宋体" w:cs="宋体"/>
                <w:szCs w:val="21"/>
              </w:rPr>
            </w:pPr>
            <w:r>
              <w:rPr>
                <w:rFonts w:hint="eastAsia" w:ascii="宋体" w:hAnsi="宋体" w:cs="宋体"/>
                <w:szCs w:val="21"/>
              </w:rPr>
              <w:t>1.9、具有自定义显示模式功能，医生可根据阅片习惯自由设定显示模式；</w:t>
            </w:r>
          </w:p>
          <w:p>
            <w:pPr>
              <w:wordWrap w:val="0"/>
              <w:topLinePunct/>
              <w:snapToGrid w:val="0"/>
              <w:spacing w:line="360" w:lineRule="auto"/>
              <w:rPr>
                <w:rFonts w:ascii="宋体" w:hAnsi="宋体" w:cs="宋体"/>
                <w:szCs w:val="21"/>
              </w:rPr>
            </w:pPr>
            <w:r>
              <w:rPr>
                <w:rFonts w:hint="eastAsia" w:ascii="宋体" w:hAnsi="宋体" w:cs="宋体"/>
                <w:szCs w:val="21"/>
              </w:rPr>
              <w:t>1.10、MIP图像三维投影：支持图像三维投影，生成立体影像，可动态旋转；</w:t>
            </w:r>
          </w:p>
          <w:p>
            <w:pPr>
              <w:wordWrap w:val="0"/>
              <w:topLinePunct/>
              <w:snapToGrid w:val="0"/>
              <w:spacing w:line="360" w:lineRule="auto"/>
              <w:rPr>
                <w:rFonts w:ascii="宋体" w:hAnsi="宋体" w:cs="宋体"/>
                <w:szCs w:val="21"/>
              </w:rPr>
            </w:pPr>
            <w:r>
              <w:rPr>
                <w:rFonts w:hint="eastAsia" w:ascii="宋体" w:hAnsi="宋体" w:cs="宋体"/>
                <w:szCs w:val="21"/>
              </w:rPr>
              <w:t>1.11、显示过程中可自定义显示层厚；</w:t>
            </w:r>
          </w:p>
          <w:p>
            <w:pPr>
              <w:wordWrap w:val="0"/>
              <w:topLinePunct/>
              <w:snapToGrid w:val="0"/>
              <w:spacing w:line="360" w:lineRule="auto"/>
              <w:rPr>
                <w:rFonts w:ascii="宋体" w:hAnsi="宋体" w:cs="宋体"/>
                <w:szCs w:val="21"/>
              </w:rPr>
            </w:pPr>
            <w:r>
              <w:rPr>
                <w:rFonts w:hint="eastAsia" w:ascii="宋体" w:hAnsi="宋体" w:cs="宋体"/>
                <w:szCs w:val="21"/>
              </w:rPr>
              <w:t>1.12、显示过程中可自定义浏览步距；</w:t>
            </w:r>
          </w:p>
          <w:p>
            <w:pPr>
              <w:wordWrap w:val="0"/>
              <w:topLinePunct/>
              <w:snapToGrid w:val="0"/>
              <w:spacing w:line="360" w:lineRule="auto"/>
              <w:rPr>
                <w:rFonts w:ascii="宋体" w:hAnsi="宋体" w:cs="宋体"/>
                <w:szCs w:val="21"/>
              </w:rPr>
            </w:pPr>
            <w:r>
              <w:rPr>
                <w:rFonts w:hint="eastAsia" w:ascii="宋体" w:hAnsi="宋体" w:cs="宋体"/>
                <w:szCs w:val="21"/>
              </w:rPr>
              <w:t>1.13、支持将多次检查的PET-CT图像打印在同一胶片上；</w:t>
            </w:r>
          </w:p>
          <w:p>
            <w:pPr>
              <w:wordWrap w:val="0"/>
              <w:topLinePunct/>
              <w:snapToGrid w:val="0"/>
              <w:spacing w:line="360" w:lineRule="auto"/>
              <w:rPr>
                <w:rFonts w:ascii="宋体" w:hAnsi="宋体" w:cs="宋体"/>
                <w:szCs w:val="21"/>
              </w:rPr>
            </w:pPr>
            <w:r>
              <w:rPr>
                <w:rFonts w:hint="eastAsia" w:ascii="宋体" w:hAnsi="宋体" w:cs="宋体"/>
                <w:szCs w:val="21"/>
              </w:rPr>
              <w:t>1.14、右键调整窗宽窗位，支持全部调整与单幅调整；</w:t>
            </w:r>
          </w:p>
          <w:p>
            <w:pPr>
              <w:wordWrap w:val="0"/>
              <w:topLinePunct/>
              <w:snapToGrid w:val="0"/>
              <w:spacing w:line="360" w:lineRule="auto"/>
              <w:rPr>
                <w:rFonts w:ascii="宋体" w:hAnsi="宋体" w:cs="宋体"/>
                <w:szCs w:val="21"/>
              </w:rPr>
            </w:pPr>
            <w:r>
              <w:rPr>
                <w:rFonts w:hint="eastAsia" w:ascii="宋体" w:hAnsi="宋体" w:cs="宋体"/>
                <w:szCs w:val="21"/>
              </w:rPr>
              <w:t>1.15、支持图像的像素值测量；</w:t>
            </w:r>
          </w:p>
          <w:p>
            <w:pPr>
              <w:wordWrap w:val="0"/>
              <w:topLinePunct/>
              <w:snapToGrid w:val="0"/>
              <w:spacing w:line="360" w:lineRule="auto"/>
              <w:rPr>
                <w:rFonts w:ascii="宋体" w:hAnsi="宋体" w:cs="宋体"/>
                <w:szCs w:val="21"/>
              </w:rPr>
            </w:pPr>
            <w:r>
              <w:rPr>
                <w:rFonts w:hint="eastAsia" w:ascii="宋体" w:hAnsi="宋体" w:cs="宋体"/>
                <w:szCs w:val="21"/>
              </w:rPr>
              <w:t>1.16、图像联动定位：支持定位线、定位键头、快捷键、鼠标滚轮等多种方式快速联动定位不同截面的图像，调整某一截面图像时，其它截面图像实时联动调整；</w:t>
            </w:r>
          </w:p>
          <w:p>
            <w:pPr>
              <w:wordWrap w:val="0"/>
              <w:topLinePunct/>
              <w:snapToGrid w:val="0"/>
              <w:spacing w:line="360" w:lineRule="auto"/>
              <w:rPr>
                <w:rFonts w:ascii="宋体" w:hAnsi="宋体" w:cs="宋体"/>
                <w:szCs w:val="21"/>
              </w:rPr>
            </w:pPr>
            <w:r>
              <w:rPr>
                <w:rFonts w:hint="eastAsia" w:ascii="宋体" w:hAnsi="宋体" w:cs="宋体"/>
                <w:szCs w:val="21"/>
              </w:rPr>
              <w:t>1.17、图像标注：支持方便的在图像上进行任意形状、键头、线条等类型的标注，可自动在同一截面和所有图像上同时标注；</w:t>
            </w:r>
          </w:p>
          <w:p>
            <w:pPr>
              <w:wordWrap w:val="0"/>
              <w:topLinePunct/>
              <w:snapToGrid w:val="0"/>
              <w:spacing w:line="360" w:lineRule="auto"/>
              <w:rPr>
                <w:rFonts w:ascii="宋体" w:hAnsi="宋体" w:cs="宋体"/>
                <w:szCs w:val="21"/>
              </w:rPr>
            </w:pPr>
            <w:r>
              <w:rPr>
                <w:rFonts w:hint="eastAsia" w:ascii="宋体" w:hAnsi="宋体" w:cs="宋体"/>
                <w:szCs w:val="21"/>
              </w:rPr>
              <w:t>1.18、支持图像旋转与镜像；</w:t>
            </w:r>
          </w:p>
          <w:p>
            <w:pPr>
              <w:wordWrap w:val="0"/>
              <w:topLinePunct/>
              <w:snapToGrid w:val="0"/>
              <w:spacing w:line="360" w:lineRule="auto"/>
              <w:rPr>
                <w:rFonts w:ascii="宋体" w:hAnsi="宋体" w:cs="宋体"/>
                <w:szCs w:val="21"/>
              </w:rPr>
            </w:pPr>
            <w:r>
              <w:rPr>
                <w:rFonts w:hint="eastAsia" w:ascii="宋体" w:hAnsi="宋体" w:cs="宋体"/>
                <w:szCs w:val="21"/>
              </w:rPr>
              <w:t>1.19、具有患者信息保密功能：可隐藏患者姓名、性别、ID号、医院名等信息，方便学术交流，隐藏或保留哪些信息项可自定义；</w:t>
            </w:r>
          </w:p>
          <w:p>
            <w:pPr>
              <w:wordWrap w:val="0"/>
              <w:topLinePunct/>
              <w:snapToGrid w:val="0"/>
              <w:spacing w:line="360" w:lineRule="auto"/>
              <w:rPr>
                <w:rFonts w:ascii="宋体" w:hAnsi="宋体" w:cs="宋体"/>
                <w:szCs w:val="21"/>
              </w:rPr>
            </w:pPr>
            <w:r>
              <w:rPr>
                <w:rFonts w:hint="eastAsia" w:ascii="宋体" w:hAnsi="宋体" w:cs="宋体"/>
                <w:szCs w:val="21"/>
              </w:rPr>
              <w:t>1.20、输出胶片：具有所见即所得的胶片输出功能；</w:t>
            </w:r>
          </w:p>
          <w:p>
            <w:pPr>
              <w:wordWrap w:val="0"/>
              <w:topLinePunct/>
              <w:snapToGrid w:val="0"/>
              <w:spacing w:line="360" w:lineRule="auto"/>
              <w:rPr>
                <w:rFonts w:ascii="宋体" w:hAnsi="宋体" w:cs="宋体"/>
                <w:szCs w:val="21"/>
              </w:rPr>
            </w:pPr>
            <w:r>
              <w:rPr>
                <w:rFonts w:hint="eastAsia" w:ascii="宋体" w:hAnsi="宋体" w:cs="宋体"/>
                <w:szCs w:val="21"/>
              </w:rPr>
              <w:t>1.21、图像联动缩放：具有单一图像、同一截面图像、同一种类图像、所有图像的联动缩放功能，支持自定义缩放级数；</w:t>
            </w:r>
          </w:p>
          <w:p>
            <w:pPr>
              <w:wordWrap w:val="0"/>
              <w:topLinePunct/>
              <w:snapToGrid w:val="0"/>
              <w:spacing w:line="360" w:lineRule="auto"/>
              <w:rPr>
                <w:rFonts w:ascii="宋体" w:hAnsi="宋体" w:cs="宋体"/>
                <w:szCs w:val="21"/>
              </w:rPr>
            </w:pPr>
            <w:r>
              <w:rPr>
                <w:rFonts w:hint="eastAsia" w:ascii="宋体" w:hAnsi="宋体" w:cs="宋体"/>
                <w:szCs w:val="21"/>
              </w:rPr>
              <w:t>1.22、图像位移，可拖动图像漫游浏览；</w:t>
            </w:r>
          </w:p>
          <w:p>
            <w:pPr>
              <w:wordWrap w:val="0"/>
              <w:topLinePunct/>
              <w:snapToGrid w:val="0"/>
              <w:spacing w:line="360" w:lineRule="auto"/>
              <w:rPr>
                <w:rFonts w:ascii="宋体" w:hAnsi="宋体" w:cs="宋体"/>
                <w:szCs w:val="21"/>
              </w:rPr>
            </w:pPr>
            <w:r>
              <w:rPr>
                <w:rFonts w:hint="eastAsia" w:ascii="宋体" w:hAnsi="宋体" w:cs="宋体"/>
                <w:szCs w:val="21"/>
              </w:rPr>
              <w:t>1.23、图像回传：支持将本地的原始数据回传到PET-CT或SPECT-CT原机进行再次处理；</w:t>
            </w:r>
          </w:p>
          <w:p>
            <w:pPr>
              <w:wordWrap w:val="0"/>
              <w:topLinePunct/>
              <w:snapToGrid w:val="0"/>
              <w:spacing w:line="360" w:lineRule="auto"/>
              <w:rPr>
                <w:rFonts w:ascii="宋体" w:hAnsi="宋体" w:cs="宋体"/>
                <w:szCs w:val="21"/>
              </w:rPr>
            </w:pPr>
            <w:r>
              <w:rPr>
                <w:rFonts w:hint="eastAsia" w:ascii="宋体" w:hAnsi="宋体" w:cs="宋体"/>
                <w:szCs w:val="21"/>
              </w:rPr>
              <w:t>1.24、图像导出：支持将当前显示图像导出为计算机通用的JPG或BMP格式图像。三维投影图像可导出为AVI格式图像；</w:t>
            </w:r>
          </w:p>
          <w:p>
            <w:pPr>
              <w:wordWrap w:val="0"/>
              <w:topLinePunct/>
              <w:snapToGrid w:val="0"/>
              <w:spacing w:line="360" w:lineRule="auto"/>
              <w:rPr>
                <w:vertAlign w:val="baseline"/>
              </w:rPr>
            </w:pPr>
            <w:r>
              <w:rPr>
                <w:rFonts w:hint="eastAsia" w:ascii="宋体" w:hAnsi="宋体" w:cs="宋体"/>
                <w:szCs w:val="21"/>
              </w:rPr>
              <w:t>1.25、伪彩设定：应能够提供＞10种伪彩格式进行选择。</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714" w:type="dxa"/>
            <w:vMerge w:val="continue"/>
          </w:tcPr>
          <w:p>
            <w:pPr>
              <w:rPr>
                <w:vertAlign w:val="baseline"/>
              </w:rPr>
            </w:pPr>
          </w:p>
        </w:tc>
        <w:tc>
          <w:tcPr>
            <w:tcW w:w="1080" w:type="dxa"/>
            <w:vMerge w:val="continue"/>
          </w:tcPr>
          <w:p>
            <w:pPr>
              <w:rPr>
                <w:vertAlign w:val="baseline"/>
              </w:rPr>
            </w:pPr>
          </w:p>
        </w:tc>
        <w:tc>
          <w:tcPr>
            <w:tcW w:w="1155" w:type="dxa"/>
          </w:tcPr>
          <w:p>
            <w:pPr>
              <w:rPr>
                <w:vertAlign w:val="baseline"/>
              </w:rPr>
            </w:pPr>
            <w:r>
              <w:rPr>
                <w:rFonts w:hint="eastAsia" w:ascii="宋体" w:hAnsi="宋体" w:cs="宋体"/>
                <w:b/>
                <w:bCs/>
                <w:szCs w:val="21"/>
              </w:rPr>
              <w:t>2、异机配准与融合处理软件</w:t>
            </w:r>
          </w:p>
        </w:tc>
        <w:tc>
          <w:tcPr>
            <w:tcW w:w="5573" w:type="dxa"/>
          </w:tcPr>
          <w:p>
            <w:pPr>
              <w:wordWrap w:val="0"/>
              <w:topLinePunct/>
              <w:snapToGrid w:val="0"/>
              <w:spacing w:line="360" w:lineRule="auto"/>
              <w:rPr>
                <w:rFonts w:ascii="宋体" w:hAnsi="宋体" w:cs="宋体"/>
                <w:szCs w:val="21"/>
              </w:rPr>
            </w:pPr>
            <w:r>
              <w:rPr>
                <w:rFonts w:hint="eastAsia" w:ascii="宋体" w:hAnsi="宋体" w:cs="宋体"/>
                <w:szCs w:val="21"/>
              </w:rPr>
              <w:t>2.1、▲支持将外部MR图像、CT图像与本机PET-CT图像进行异机配准与融合；</w:t>
            </w:r>
          </w:p>
          <w:p>
            <w:pPr>
              <w:wordWrap w:val="0"/>
              <w:topLinePunct/>
              <w:snapToGrid w:val="0"/>
              <w:spacing w:line="360" w:lineRule="auto"/>
              <w:rPr>
                <w:rFonts w:ascii="宋体" w:hAnsi="宋体" w:cs="宋体"/>
                <w:szCs w:val="21"/>
              </w:rPr>
            </w:pPr>
            <w:r>
              <w:rPr>
                <w:rFonts w:hint="eastAsia" w:ascii="宋体" w:hAnsi="宋体" w:cs="宋体"/>
                <w:szCs w:val="21"/>
              </w:rPr>
              <w:t>2.2、支持外部DICOM图像的导入功能；</w:t>
            </w:r>
          </w:p>
          <w:p>
            <w:pPr>
              <w:wordWrap w:val="0"/>
              <w:topLinePunct/>
              <w:snapToGrid w:val="0"/>
              <w:spacing w:line="360" w:lineRule="auto"/>
              <w:rPr>
                <w:rFonts w:ascii="宋体" w:hAnsi="宋体" w:cs="宋体"/>
                <w:szCs w:val="21"/>
              </w:rPr>
            </w:pPr>
            <w:r>
              <w:rPr>
                <w:rFonts w:hint="eastAsia" w:ascii="宋体" w:hAnsi="宋体" w:cs="宋体"/>
                <w:szCs w:val="21"/>
              </w:rPr>
              <w:t>2.3、提供任意序列异机融合的列表选择；</w:t>
            </w:r>
          </w:p>
          <w:p>
            <w:pPr>
              <w:wordWrap w:val="0"/>
              <w:topLinePunct/>
              <w:snapToGrid w:val="0"/>
              <w:spacing w:line="360" w:lineRule="auto"/>
              <w:rPr>
                <w:rFonts w:ascii="宋体" w:hAnsi="宋体" w:cs="宋体"/>
                <w:szCs w:val="21"/>
              </w:rPr>
            </w:pPr>
            <w:r>
              <w:rPr>
                <w:rFonts w:hint="eastAsia" w:ascii="宋体" w:hAnsi="宋体" w:cs="宋体"/>
                <w:szCs w:val="21"/>
              </w:rPr>
              <w:t>2.4、异机融合与同机融合可在同一软件内完成；</w:t>
            </w:r>
          </w:p>
          <w:p>
            <w:pPr>
              <w:wordWrap w:val="0"/>
              <w:topLinePunct/>
              <w:snapToGrid w:val="0"/>
              <w:spacing w:line="360" w:lineRule="auto"/>
              <w:rPr>
                <w:rFonts w:ascii="宋体" w:hAnsi="宋体" w:cs="宋体"/>
                <w:szCs w:val="21"/>
              </w:rPr>
            </w:pPr>
            <w:r>
              <w:rPr>
                <w:rFonts w:hint="eastAsia" w:ascii="宋体" w:hAnsi="宋体" w:cs="宋体"/>
                <w:szCs w:val="21"/>
              </w:rPr>
              <w:t>2.5、异机融合的图像可生成报告典型图像，加入到临床报告中，变相得到PET-MR检查报告图像；</w:t>
            </w:r>
          </w:p>
          <w:p>
            <w:pPr>
              <w:wordWrap w:val="0"/>
              <w:topLinePunct/>
              <w:snapToGrid w:val="0"/>
              <w:spacing w:line="360" w:lineRule="auto"/>
              <w:rPr>
                <w:vertAlign w:val="baseline"/>
              </w:rPr>
            </w:pPr>
            <w:r>
              <w:rPr>
                <w:rFonts w:hint="eastAsia" w:ascii="宋体" w:hAnsi="宋体" w:cs="宋体"/>
                <w:szCs w:val="21"/>
              </w:rPr>
              <w:t>2.6、具有图像位移的微调功能：支持单独调整PET图像与CT/MR图像的位置，对融合结果进行手工精准干预；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714" w:type="dxa"/>
            <w:vMerge w:val="continue"/>
          </w:tcPr>
          <w:p>
            <w:pPr>
              <w:rPr>
                <w:vertAlign w:val="baseline"/>
              </w:rPr>
            </w:pPr>
          </w:p>
        </w:tc>
        <w:tc>
          <w:tcPr>
            <w:tcW w:w="1080" w:type="dxa"/>
            <w:vMerge w:val="continue"/>
          </w:tcPr>
          <w:p>
            <w:pPr>
              <w:rPr>
                <w:vertAlign w:val="baseline"/>
              </w:rPr>
            </w:pPr>
          </w:p>
        </w:tc>
        <w:tc>
          <w:tcPr>
            <w:tcW w:w="1155" w:type="dxa"/>
          </w:tcPr>
          <w:p>
            <w:pPr>
              <w:rPr>
                <w:vertAlign w:val="baseline"/>
              </w:rPr>
            </w:pPr>
            <w:r>
              <w:rPr>
                <w:rFonts w:hint="eastAsia" w:ascii="宋体" w:hAnsi="宋体" w:cs="宋体"/>
                <w:b/>
                <w:bCs/>
                <w:szCs w:val="21"/>
              </w:rPr>
              <w:t>3、TLG、MTV、SUV专业测量软件</w:t>
            </w:r>
          </w:p>
        </w:tc>
        <w:tc>
          <w:tcPr>
            <w:tcW w:w="5573" w:type="dxa"/>
          </w:tcPr>
          <w:p>
            <w:pPr>
              <w:numPr>
                <w:ilvl w:val="0"/>
                <w:numId w:val="0"/>
              </w:numPr>
              <w:spacing w:line="360" w:lineRule="auto"/>
              <w:ind w:leftChars="0"/>
              <w:rPr>
                <w:rFonts w:ascii="宋体" w:hAnsi="宋体"/>
                <w:szCs w:val="21"/>
              </w:rPr>
            </w:pPr>
            <w:r>
              <w:rPr>
                <w:rFonts w:hint="eastAsia" w:ascii="宋体" w:hAnsi="宋体" w:cs="宋体"/>
                <w:szCs w:val="21"/>
              </w:rPr>
              <w:t>3.1、</w:t>
            </w:r>
            <w:r>
              <w:rPr>
                <w:rFonts w:hint="eastAsia" w:ascii="宋体" w:hAnsi="宋体"/>
                <w:color w:val="000000"/>
                <w:szCs w:val="21"/>
              </w:rPr>
              <w:t>提供核医学图像定量分析系统软件功能(</w:t>
            </w:r>
            <w:r>
              <w:rPr>
                <w:rFonts w:ascii="宋体" w:hAnsi="宋体"/>
                <w:color w:val="000000"/>
                <w:szCs w:val="21"/>
              </w:rPr>
              <w:t>提供</w:t>
            </w:r>
            <w:r>
              <w:rPr>
                <w:rFonts w:hint="eastAsia" w:ascii="宋体" w:hAnsi="宋体"/>
                <w:color w:val="000000"/>
                <w:szCs w:val="21"/>
                <w:lang w:eastAsia="zh-CN"/>
              </w:rPr>
              <w:t>软件著作权</w:t>
            </w:r>
            <w:r>
              <w:rPr>
                <w:rFonts w:ascii="宋体" w:hAnsi="宋体"/>
                <w:color w:val="000000"/>
                <w:szCs w:val="21"/>
              </w:rPr>
              <w:t>证明</w:t>
            </w:r>
            <w:r>
              <w:rPr>
                <w:rFonts w:hint="eastAsia" w:ascii="宋体" w:hAnsi="宋体"/>
                <w:color w:val="000000"/>
                <w:szCs w:val="21"/>
                <w:lang w:eastAsia="zh-CN"/>
              </w:rPr>
              <w:t>文件</w:t>
            </w:r>
            <w:r>
              <w:rPr>
                <w:rFonts w:hint="eastAsia" w:ascii="宋体" w:hAnsi="宋体"/>
                <w:color w:val="000000"/>
                <w:szCs w:val="21"/>
              </w:rPr>
              <w:t>)</w:t>
            </w:r>
          </w:p>
          <w:p>
            <w:pPr>
              <w:numPr>
                <w:ilvl w:val="0"/>
                <w:numId w:val="0"/>
              </w:numPr>
              <w:spacing w:line="360" w:lineRule="auto"/>
              <w:ind w:leftChars="0"/>
              <w:rPr>
                <w:rFonts w:ascii="宋体" w:hAnsi="宋体" w:cs="宋体"/>
                <w:szCs w:val="21"/>
              </w:rPr>
            </w:pPr>
            <w:r>
              <w:rPr>
                <w:rFonts w:hint="eastAsia" w:ascii="宋体" w:hAnsi="宋体" w:cs="宋体"/>
                <w:szCs w:val="21"/>
              </w:rPr>
              <w:t>3.2、▲定量分析软件为中文版本</w:t>
            </w:r>
            <w:r>
              <w:rPr>
                <w:rFonts w:hint="eastAsia" w:ascii="宋体" w:hAnsi="宋体" w:cs="宋体"/>
                <w:szCs w:val="21"/>
                <w:lang w:eastAsia="zh-CN"/>
              </w:rPr>
              <w:t>，</w:t>
            </w:r>
            <w:r>
              <w:rPr>
                <w:rFonts w:hint="eastAsia" w:ascii="宋体" w:hAnsi="宋体"/>
                <w:szCs w:val="21"/>
              </w:rPr>
              <w:t>非集成国外第三方软件</w:t>
            </w:r>
            <w:r>
              <w:rPr>
                <w:rFonts w:hint="eastAsia" w:ascii="宋体" w:hAnsi="宋体"/>
                <w:szCs w:val="21"/>
                <w:lang w:eastAsia="zh-CN"/>
              </w:rPr>
              <w:t>；</w:t>
            </w:r>
          </w:p>
          <w:p>
            <w:pPr>
              <w:wordWrap w:val="0"/>
              <w:topLinePunct/>
              <w:snapToGrid w:val="0"/>
              <w:spacing w:line="360" w:lineRule="auto"/>
              <w:rPr>
                <w:rFonts w:ascii="宋体" w:hAnsi="宋体" w:cs="宋体"/>
                <w:szCs w:val="21"/>
              </w:rPr>
            </w:pPr>
            <w:r>
              <w:rPr>
                <w:rFonts w:hint="eastAsia" w:ascii="宋体" w:hAnsi="宋体" w:cs="宋体"/>
                <w:szCs w:val="21"/>
              </w:rPr>
              <w:t>3.3、提供SUV值测量，测量结果至少包括SUVmean、SUVmax、SUVAVG；</w:t>
            </w:r>
          </w:p>
          <w:p>
            <w:pPr>
              <w:wordWrap w:val="0"/>
              <w:topLinePunct/>
              <w:snapToGrid w:val="0"/>
              <w:spacing w:line="360" w:lineRule="auto"/>
              <w:rPr>
                <w:rFonts w:ascii="宋体" w:hAnsi="宋体" w:cs="宋体"/>
                <w:szCs w:val="21"/>
              </w:rPr>
            </w:pPr>
            <w:r>
              <w:rPr>
                <w:rFonts w:hint="eastAsia" w:ascii="宋体" w:hAnsi="宋体" w:cs="宋体"/>
                <w:szCs w:val="21"/>
              </w:rPr>
              <w:t>3.4、提供SUL值测量，测量结果至少包括SULmean、SULmax、SULavg；</w:t>
            </w:r>
          </w:p>
          <w:p>
            <w:pPr>
              <w:wordWrap w:val="0"/>
              <w:topLinePunct/>
              <w:snapToGrid w:val="0"/>
              <w:spacing w:line="360" w:lineRule="auto"/>
              <w:rPr>
                <w:rFonts w:ascii="宋体" w:hAnsi="宋体" w:cs="宋体"/>
                <w:szCs w:val="21"/>
              </w:rPr>
            </w:pPr>
            <w:r>
              <w:rPr>
                <w:rFonts w:hint="eastAsia" w:ascii="宋体" w:hAnsi="宋体" w:cs="宋体"/>
                <w:szCs w:val="21"/>
              </w:rPr>
              <w:t>3.5、▲提供TLG（病变部位总糖酵解量）值测量；</w:t>
            </w:r>
          </w:p>
          <w:p>
            <w:pPr>
              <w:wordWrap w:val="0"/>
              <w:topLinePunct/>
              <w:snapToGrid w:val="0"/>
              <w:spacing w:line="360" w:lineRule="auto"/>
              <w:rPr>
                <w:rFonts w:ascii="宋体" w:hAnsi="宋体" w:cs="宋体"/>
                <w:szCs w:val="21"/>
              </w:rPr>
            </w:pPr>
            <w:r>
              <w:rPr>
                <w:rFonts w:hint="eastAsia" w:ascii="宋体" w:hAnsi="宋体" w:cs="宋体"/>
                <w:szCs w:val="21"/>
              </w:rPr>
              <w:t>3.6、提供MTV（病灶体积）值测量；</w:t>
            </w:r>
          </w:p>
          <w:p>
            <w:pPr>
              <w:wordWrap w:val="0"/>
              <w:topLinePunct/>
              <w:snapToGrid w:val="0"/>
              <w:spacing w:line="360" w:lineRule="auto"/>
              <w:rPr>
                <w:rFonts w:ascii="宋体" w:hAnsi="宋体" w:cs="宋体"/>
                <w:szCs w:val="21"/>
              </w:rPr>
            </w:pPr>
            <w:r>
              <w:rPr>
                <w:rFonts w:hint="eastAsia" w:ascii="宋体" w:hAnsi="宋体" w:cs="宋体"/>
                <w:szCs w:val="21"/>
              </w:rPr>
              <w:t>3.7、提供SUV PEAK值测量；</w:t>
            </w:r>
          </w:p>
          <w:p>
            <w:pPr>
              <w:wordWrap w:val="0"/>
              <w:topLinePunct/>
              <w:snapToGrid w:val="0"/>
              <w:spacing w:line="360" w:lineRule="auto"/>
              <w:rPr>
                <w:rFonts w:ascii="宋体" w:hAnsi="宋体" w:cs="宋体"/>
                <w:szCs w:val="21"/>
              </w:rPr>
            </w:pPr>
            <w:r>
              <w:rPr>
                <w:rFonts w:hint="eastAsia" w:ascii="宋体" w:hAnsi="宋体" w:cs="宋体"/>
                <w:szCs w:val="21"/>
              </w:rPr>
              <w:t>3.8、支持病灶的自动勾画，自动勾画不规则肿瘤病灶边缘，并支持通过改变阈值实时调整勾画区域，并给出病灶X\Y\Z坐标值。</w:t>
            </w:r>
          </w:p>
          <w:p>
            <w:pPr>
              <w:wordWrap w:val="0"/>
              <w:topLinePunct/>
              <w:snapToGrid w:val="0"/>
              <w:spacing w:line="360" w:lineRule="auto"/>
              <w:rPr>
                <w:vertAlign w:val="baseline"/>
              </w:rPr>
            </w:pPr>
            <w:r>
              <w:rPr>
                <w:rFonts w:hint="eastAsia" w:ascii="宋体" w:hAnsi="宋体" w:cs="宋体"/>
                <w:szCs w:val="21"/>
              </w:rPr>
              <w:t>3.9、要求提供核医学图像定量分析软件著作权证。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0" w:hRule="atLeast"/>
          <w:jc w:val="center"/>
        </w:trPr>
        <w:tc>
          <w:tcPr>
            <w:tcW w:w="714" w:type="dxa"/>
            <w:vMerge w:val="continue"/>
          </w:tcPr>
          <w:p>
            <w:pPr>
              <w:rPr>
                <w:vertAlign w:val="baseline"/>
              </w:rPr>
            </w:pPr>
          </w:p>
        </w:tc>
        <w:tc>
          <w:tcPr>
            <w:tcW w:w="1080" w:type="dxa"/>
            <w:vMerge w:val="continue"/>
          </w:tcPr>
          <w:p>
            <w:pPr>
              <w:rPr>
                <w:vertAlign w:val="baseline"/>
              </w:rPr>
            </w:pPr>
          </w:p>
        </w:tc>
        <w:tc>
          <w:tcPr>
            <w:tcW w:w="1155" w:type="dxa"/>
          </w:tcPr>
          <w:p>
            <w:pPr>
              <w:rPr>
                <w:vertAlign w:val="baseline"/>
              </w:rPr>
            </w:pPr>
            <w:r>
              <w:rPr>
                <w:rFonts w:hint="eastAsia" w:ascii="宋体" w:hAnsi="宋体" w:cs="宋体"/>
                <w:b/>
                <w:bCs/>
                <w:szCs w:val="21"/>
              </w:rPr>
              <w:t>4、PET-CT报告输出与审核软件</w:t>
            </w:r>
          </w:p>
        </w:tc>
        <w:tc>
          <w:tcPr>
            <w:tcW w:w="5573" w:type="dxa"/>
          </w:tcPr>
          <w:p>
            <w:pPr>
              <w:wordWrap w:val="0"/>
              <w:topLinePunct/>
              <w:snapToGrid w:val="0"/>
              <w:spacing w:line="360" w:lineRule="auto"/>
              <w:rPr>
                <w:rFonts w:ascii="宋体" w:hAnsi="宋体" w:cs="宋体"/>
                <w:szCs w:val="21"/>
              </w:rPr>
            </w:pPr>
            <w:r>
              <w:rPr>
                <w:rFonts w:hint="eastAsia" w:ascii="宋体" w:hAnsi="宋体" w:cs="宋体"/>
                <w:szCs w:val="21"/>
              </w:rPr>
              <w:t>4.1、至少具有“已预约”“已登记”“未写”“未审核”“退回”“已审核”“已出胶片”等状态分类，选中这些状态即可查看符合的全部患者列表；</w:t>
            </w:r>
          </w:p>
          <w:p>
            <w:pPr>
              <w:wordWrap w:val="0"/>
              <w:topLinePunct/>
              <w:snapToGrid w:val="0"/>
              <w:spacing w:line="360" w:lineRule="auto"/>
              <w:rPr>
                <w:rFonts w:ascii="宋体" w:hAnsi="宋体" w:cs="宋体"/>
                <w:szCs w:val="21"/>
              </w:rPr>
            </w:pPr>
            <w:r>
              <w:rPr>
                <w:rFonts w:hint="eastAsia" w:ascii="宋体" w:hAnsi="宋体" w:cs="宋体"/>
                <w:szCs w:val="21"/>
              </w:rPr>
              <w:t>4.2、医生编写报告过程中可调阅电子申请单查看医嘱与病史信息；</w:t>
            </w:r>
          </w:p>
          <w:p>
            <w:pPr>
              <w:wordWrap w:val="0"/>
              <w:topLinePunct/>
              <w:snapToGrid w:val="0"/>
              <w:spacing w:line="360" w:lineRule="auto"/>
              <w:rPr>
                <w:rFonts w:ascii="宋体" w:hAnsi="宋体" w:cs="宋体"/>
                <w:szCs w:val="21"/>
              </w:rPr>
            </w:pPr>
            <w:r>
              <w:rPr>
                <w:rFonts w:hint="eastAsia" w:ascii="宋体" w:hAnsi="宋体" w:cs="宋体"/>
                <w:szCs w:val="21"/>
              </w:rPr>
              <w:t>4.3、可调出高级检索界面进行细致、精确的搜索；</w:t>
            </w:r>
          </w:p>
          <w:p>
            <w:pPr>
              <w:wordWrap w:val="0"/>
              <w:topLinePunct/>
              <w:snapToGrid w:val="0"/>
              <w:spacing w:line="360" w:lineRule="auto"/>
              <w:rPr>
                <w:rFonts w:ascii="宋体" w:hAnsi="宋体" w:cs="宋体"/>
                <w:szCs w:val="21"/>
              </w:rPr>
            </w:pPr>
            <w:r>
              <w:rPr>
                <w:rFonts w:hint="eastAsia" w:ascii="宋体" w:hAnsi="宋体" w:cs="宋体"/>
                <w:szCs w:val="21"/>
              </w:rPr>
              <w:t>4.4、支持内置报告模板。报告模板可根据医生需求随时添加、修改；</w:t>
            </w:r>
          </w:p>
          <w:p>
            <w:pPr>
              <w:wordWrap w:val="0"/>
              <w:topLinePunct/>
              <w:snapToGrid w:val="0"/>
              <w:spacing w:line="360" w:lineRule="auto"/>
              <w:rPr>
                <w:rFonts w:ascii="宋体" w:hAnsi="宋体" w:cs="宋体"/>
                <w:szCs w:val="21"/>
              </w:rPr>
            </w:pPr>
            <w:r>
              <w:rPr>
                <w:rFonts w:hint="eastAsia" w:ascii="宋体" w:hAnsi="宋体" w:cs="宋体"/>
                <w:szCs w:val="21"/>
              </w:rPr>
              <w:t>4.5、支持公用模板与私用模板，所有模板可自定义增加、删除与修改；</w:t>
            </w:r>
          </w:p>
          <w:p>
            <w:pPr>
              <w:wordWrap w:val="0"/>
              <w:topLinePunct/>
              <w:snapToGrid w:val="0"/>
              <w:spacing w:line="360" w:lineRule="auto"/>
              <w:rPr>
                <w:rFonts w:ascii="宋体" w:hAnsi="宋体" w:cs="宋体"/>
                <w:szCs w:val="21"/>
              </w:rPr>
            </w:pPr>
            <w:r>
              <w:rPr>
                <w:rFonts w:hint="eastAsia" w:ascii="宋体" w:hAnsi="宋体" w:cs="宋体"/>
                <w:szCs w:val="21"/>
              </w:rPr>
              <w:t>4.6、支持报告电子审核。上级医生可批准或驳回下级医生的初步诊断，并加注评语最后由医生打印报告，留下历史修改记录与审核记录内容；</w:t>
            </w:r>
          </w:p>
          <w:p>
            <w:pPr>
              <w:wordWrap w:val="0"/>
              <w:topLinePunct/>
              <w:snapToGrid w:val="0"/>
              <w:spacing w:line="360" w:lineRule="auto"/>
              <w:rPr>
                <w:rFonts w:ascii="宋体" w:hAnsi="宋体" w:cs="宋体"/>
                <w:szCs w:val="21"/>
              </w:rPr>
            </w:pPr>
            <w:r>
              <w:rPr>
                <w:rFonts w:hint="eastAsia" w:ascii="宋体" w:hAnsi="宋体" w:cs="宋体"/>
                <w:szCs w:val="21"/>
              </w:rPr>
              <w:t>4.7、支持典型报告收藏功能，并支持个人收藏与公共收藏两种模式；</w:t>
            </w:r>
          </w:p>
          <w:p>
            <w:pPr>
              <w:wordWrap w:val="0"/>
              <w:topLinePunct/>
              <w:snapToGrid w:val="0"/>
              <w:spacing w:line="360" w:lineRule="auto"/>
              <w:rPr>
                <w:rFonts w:ascii="宋体" w:hAnsi="宋体" w:cs="宋体"/>
                <w:szCs w:val="21"/>
              </w:rPr>
            </w:pPr>
            <w:r>
              <w:rPr>
                <w:rFonts w:hint="eastAsia" w:ascii="宋体" w:hAnsi="宋体" w:cs="宋体"/>
                <w:szCs w:val="21"/>
              </w:rPr>
              <w:t>4.8、支持报告自动校验功能，如：男性患者诊断出现子宫字样，保存时提示报警；</w:t>
            </w:r>
          </w:p>
          <w:p>
            <w:pPr>
              <w:wordWrap w:val="0"/>
              <w:topLinePunct/>
              <w:snapToGrid w:val="0"/>
              <w:spacing w:line="360" w:lineRule="auto"/>
              <w:rPr>
                <w:vertAlign w:val="baseline"/>
              </w:rPr>
            </w:pPr>
            <w:r>
              <w:rPr>
                <w:rFonts w:hint="eastAsia" w:ascii="宋体" w:hAnsi="宋体" w:cs="宋体"/>
                <w:szCs w:val="21"/>
              </w:rPr>
              <w:t>4.9、支持语音报告功能。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tcPr>
          <w:p>
            <w:pPr>
              <w:rPr>
                <w:vertAlign w:val="baseline"/>
              </w:rPr>
            </w:pPr>
          </w:p>
        </w:tc>
        <w:tc>
          <w:tcPr>
            <w:tcW w:w="1080" w:type="dxa"/>
            <w:vMerge w:val="continue"/>
          </w:tcPr>
          <w:p>
            <w:pPr>
              <w:rPr>
                <w:vertAlign w:val="baseline"/>
              </w:rPr>
            </w:pPr>
          </w:p>
        </w:tc>
        <w:tc>
          <w:tcPr>
            <w:tcW w:w="1155" w:type="dxa"/>
          </w:tcPr>
          <w:p>
            <w:pPr>
              <w:rPr>
                <w:vertAlign w:val="baseline"/>
              </w:rPr>
            </w:pPr>
            <w:r>
              <w:rPr>
                <w:rFonts w:hint="eastAsia" w:ascii="宋体" w:hAnsi="宋体" w:cs="宋体"/>
                <w:b/>
                <w:bCs/>
                <w:szCs w:val="21"/>
              </w:rPr>
              <w:t>5、定制随访软件</w:t>
            </w:r>
          </w:p>
        </w:tc>
        <w:tc>
          <w:tcPr>
            <w:tcW w:w="5573" w:type="dxa"/>
          </w:tcPr>
          <w:p>
            <w:pPr>
              <w:wordWrap w:val="0"/>
              <w:topLinePunct/>
              <w:snapToGrid w:val="0"/>
              <w:spacing w:line="360" w:lineRule="auto"/>
              <w:rPr>
                <w:rFonts w:ascii="宋体" w:hAnsi="宋体" w:cs="宋体"/>
                <w:szCs w:val="21"/>
              </w:rPr>
            </w:pPr>
            <w:r>
              <w:rPr>
                <w:rFonts w:hint="eastAsia" w:ascii="宋体" w:hAnsi="宋体" w:cs="宋体"/>
                <w:szCs w:val="21"/>
              </w:rPr>
              <w:t>5.1、支持病人随访管理功能，支持自定义随访模版与智能提醒，系统登录时提醒当天待随访信息。</w:t>
            </w:r>
          </w:p>
          <w:p>
            <w:pPr>
              <w:wordWrap w:val="0"/>
              <w:topLinePunct/>
              <w:snapToGrid w:val="0"/>
              <w:spacing w:line="360" w:lineRule="auto"/>
              <w:rPr>
                <w:rFonts w:ascii="宋体" w:hAnsi="宋体" w:cs="宋体"/>
                <w:szCs w:val="21"/>
              </w:rPr>
            </w:pPr>
            <w:r>
              <w:rPr>
                <w:rFonts w:hint="eastAsia" w:ascii="宋体" w:hAnsi="宋体" w:cs="宋体"/>
                <w:szCs w:val="21"/>
              </w:rPr>
              <w:t>5.2、包含根据核医学需求设计的随访软件；</w:t>
            </w:r>
          </w:p>
          <w:p>
            <w:pPr>
              <w:wordWrap w:val="0"/>
              <w:topLinePunct/>
              <w:snapToGrid w:val="0"/>
              <w:spacing w:line="360" w:lineRule="auto"/>
              <w:rPr>
                <w:rFonts w:ascii="宋体" w:hAnsi="宋体" w:cs="宋体"/>
                <w:szCs w:val="21"/>
              </w:rPr>
            </w:pPr>
            <w:r>
              <w:rPr>
                <w:rFonts w:hint="eastAsia" w:ascii="宋体" w:hAnsi="宋体" w:cs="宋体"/>
                <w:szCs w:val="21"/>
              </w:rPr>
              <w:t>5.3、支持至少五个数据标引记录；</w:t>
            </w:r>
          </w:p>
          <w:p>
            <w:pPr>
              <w:rPr>
                <w:vertAlign w:val="baseline"/>
              </w:rPr>
            </w:pPr>
            <w:r>
              <w:rPr>
                <w:rFonts w:hint="eastAsia" w:ascii="宋体" w:hAnsi="宋体" w:cs="宋体"/>
                <w:szCs w:val="21"/>
              </w:rPr>
              <w:t>5.4、支持随访内容结构化存储，标引等内容可以进行精确查询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714" w:type="dxa"/>
            <w:vMerge w:val="continue"/>
          </w:tcPr>
          <w:p>
            <w:pPr>
              <w:rPr>
                <w:vertAlign w:val="baseline"/>
              </w:rPr>
            </w:pPr>
          </w:p>
        </w:tc>
        <w:tc>
          <w:tcPr>
            <w:tcW w:w="1080" w:type="dxa"/>
            <w:vMerge w:val="continue"/>
          </w:tcPr>
          <w:p>
            <w:pPr>
              <w:rPr>
                <w:vertAlign w:val="baseline"/>
              </w:rPr>
            </w:pPr>
          </w:p>
        </w:tc>
        <w:tc>
          <w:tcPr>
            <w:tcW w:w="1155" w:type="dxa"/>
          </w:tcPr>
          <w:p>
            <w:pPr>
              <w:rPr>
                <w:vertAlign w:val="baseline"/>
              </w:rPr>
            </w:pPr>
            <w:r>
              <w:rPr>
                <w:rFonts w:hint="eastAsia" w:ascii="宋体" w:hAnsi="宋体" w:cs="宋体"/>
                <w:b/>
                <w:bCs/>
                <w:szCs w:val="21"/>
              </w:rPr>
              <w:t>6、知识库系统软件</w:t>
            </w:r>
          </w:p>
        </w:tc>
        <w:tc>
          <w:tcPr>
            <w:tcW w:w="5573" w:type="dxa"/>
          </w:tcPr>
          <w:p>
            <w:pPr>
              <w:wordWrap w:val="0"/>
              <w:topLinePunct/>
              <w:snapToGrid w:val="0"/>
              <w:spacing w:line="360" w:lineRule="auto"/>
              <w:rPr>
                <w:rFonts w:ascii="宋体" w:hAnsi="宋体" w:cs="宋体"/>
                <w:szCs w:val="21"/>
              </w:rPr>
            </w:pPr>
            <w:r>
              <w:rPr>
                <w:rFonts w:hint="eastAsia" w:ascii="宋体" w:hAnsi="宋体" w:cs="宋体"/>
                <w:szCs w:val="21"/>
              </w:rPr>
              <w:t>6.1、内置核医学十大系统多种疾病的典型病历库；</w:t>
            </w:r>
          </w:p>
          <w:p>
            <w:pPr>
              <w:wordWrap w:val="0"/>
              <w:topLinePunct/>
              <w:snapToGrid w:val="0"/>
              <w:spacing w:line="360" w:lineRule="auto"/>
              <w:rPr>
                <w:vertAlign w:val="baseline"/>
              </w:rPr>
            </w:pPr>
            <w:r>
              <w:rPr>
                <w:rFonts w:hint="eastAsia" w:ascii="宋体" w:hAnsi="宋体" w:cs="宋体"/>
                <w:szCs w:val="21"/>
              </w:rPr>
              <w:t>6.2、知识库至少应包括病史、检查、典型图像、病理结果、专家讨论等内容。</w:t>
            </w:r>
          </w:p>
        </w:tc>
      </w:tr>
    </w:tbl>
    <w:p>
      <w:pPr>
        <w:pStyle w:val="3"/>
        <w:rPr>
          <w:rFonts w:hint="eastAsia" w:eastAsia="宋体"/>
          <w:lang w:val="en-US" w:eastAsia="zh-CN"/>
        </w:rPr>
      </w:pPr>
    </w:p>
    <w:p>
      <w:pPr>
        <w:pStyle w:val="3"/>
        <w:rPr>
          <w:rFonts w:ascii="宋体" w:hAnsi="宋体" w:eastAsia="宋体" w:cs="宋体"/>
          <w:b/>
          <w:bCs/>
          <w:color w:val="auto"/>
          <w:sz w:val="28"/>
          <w:lang w:val="en-US"/>
        </w:rPr>
      </w:pPr>
      <w:r>
        <w:rPr>
          <w:rFonts w:hint="eastAsia" w:ascii="宋体" w:hAnsi="宋体" w:eastAsia="宋体" w:cs="宋体"/>
          <w:b/>
          <w:bCs/>
          <w:color w:val="auto"/>
          <w:sz w:val="28"/>
          <w:lang w:val="en-US"/>
        </w:rPr>
        <w:t>三、对接口及系统改造的要求</w:t>
      </w:r>
    </w:p>
    <w:p>
      <w:pPr>
        <w:rPr>
          <w:rFonts w:ascii="宋体" w:hAnsi="宋体" w:eastAsia="宋体" w:cs="宋体"/>
          <w:b/>
          <w:bCs/>
          <w:color w:val="auto"/>
          <w:sz w:val="24"/>
          <w:szCs w:val="24"/>
        </w:rPr>
      </w:pP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t>维保期和续保期内免费实现以下要求：</w:t>
      </w:r>
    </w:p>
    <w:p>
      <w:pPr>
        <w:pStyle w:val="3"/>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3.1提供全面的接口技术，与第三方系统共享数据和功能，这些接口技术包括中间件技术接口、WEBSEVICE通用接口、数据库级接口、文件文本接口等。</w:t>
      </w:r>
    </w:p>
    <w:p>
      <w:pPr>
        <w:pStyle w:val="3"/>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提供与医院第三方系统统一接口的维护与管理，与HIS、电子病历、LIS、PACS、心电系统、体检系统、集成平台、成本管理系统、排班系统、人力资源管理系统、预约平台、财务管理系统、互联网医院、OA系统、自助服务平台、DRG管理、绩效管理、电子发票、短信平台、财务电子档案、智慧运营平台、等其他所有医院相关业务系统（包括以上医院系统但不仅限于以上系统）进行免费接口对接，实现数据交换。</w:t>
      </w:r>
    </w:p>
    <w:p>
      <w:pPr>
        <w:pStyle w:val="3"/>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pPr>
        <w:pStyle w:val="3"/>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3.4提供软件免费升级及个性化修改服务，免费实现院方的个性化需求；软件自身错误类问题提供永久性免费修改服务；</w:t>
      </w:r>
    </w:p>
    <w:p>
      <w:pPr>
        <w:pStyle w:val="3"/>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3.5免费提供医院新增业务信息系统的对接、免费实现医院上级管理部门要求的系统接口对接要求。</w:t>
      </w:r>
    </w:p>
    <w:p>
      <w:pPr>
        <w:pStyle w:val="2"/>
        <w:numPr>
          <w:ilvl w:val="0"/>
          <w:numId w:val="0"/>
        </w:numPr>
        <w:spacing w:before="312" w:beforeLines="100" w:line="360" w:lineRule="auto"/>
        <w:rPr>
          <w:rFonts w:ascii="宋体" w:hAnsi="宋体"/>
          <w:bCs w:val="0"/>
          <w:sz w:val="32"/>
          <w:szCs w:val="32"/>
        </w:rPr>
      </w:pPr>
      <w:r>
        <w:rPr>
          <w:rFonts w:hint="eastAsia" w:ascii="宋体" w:hAnsi="宋体"/>
          <w:bCs w:val="0"/>
          <w:sz w:val="32"/>
          <w:szCs w:val="32"/>
        </w:rPr>
        <w:t>四、项目实施要求</w:t>
      </w:r>
    </w:p>
    <w:p>
      <w:pPr>
        <w:pStyle w:val="3"/>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lang w:val="en-US"/>
        </w:rPr>
        <w:t>4.1驻</w:t>
      </w:r>
      <w:r>
        <w:rPr>
          <w:rFonts w:hint="eastAsia" w:ascii="宋体" w:hAnsi="宋体" w:eastAsia="宋体" w:cs="宋体"/>
          <w:color w:val="auto"/>
          <w:sz w:val="24"/>
          <w:highlight w:val="none"/>
          <w:lang w:val="en-US"/>
        </w:rPr>
        <w:t>场、实施工期要求：合同签订后，</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val="en-US"/>
        </w:rPr>
        <w:t>个工作日内项目实施人员必须进场</w:t>
      </w:r>
      <w:r>
        <w:rPr>
          <w:rFonts w:hint="eastAsia" w:ascii="宋体" w:hAnsi="宋体" w:eastAsia="宋体" w:cs="宋体"/>
          <w:color w:val="auto"/>
          <w:sz w:val="24"/>
          <w:highlight w:val="none"/>
          <w:lang w:val="en-US" w:eastAsia="zh-CN"/>
        </w:rPr>
        <w:t>，系统需在1个月内完成项</w:t>
      </w:r>
      <w:r>
        <w:rPr>
          <w:rFonts w:hint="eastAsia" w:ascii="宋体" w:hAnsi="宋体" w:eastAsia="宋体" w:cs="宋体"/>
          <w:color w:val="auto"/>
          <w:sz w:val="24"/>
          <w:highlight w:val="none"/>
          <w:lang w:val="en-US"/>
        </w:rPr>
        <w:t>目实施上线</w:t>
      </w:r>
      <w:r>
        <w:rPr>
          <w:rFonts w:hint="eastAsia" w:ascii="宋体" w:hAnsi="宋体" w:eastAsia="宋体" w:cs="宋体"/>
          <w:color w:val="auto"/>
          <w:sz w:val="24"/>
          <w:highlight w:val="none"/>
          <w:lang w:val="en-US" w:eastAsia="zh-CN"/>
        </w:rPr>
        <w:t>，请分别列出每个系统实施的工作计划及周期</w:t>
      </w:r>
      <w:r>
        <w:rPr>
          <w:rFonts w:hint="eastAsia" w:ascii="宋体" w:hAnsi="宋体" w:eastAsia="宋体" w:cs="宋体"/>
          <w:color w:val="auto"/>
          <w:sz w:val="24"/>
          <w:highlight w:val="none"/>
          <w:lang w:val="en-US"/>
        </w:rPr>
        <w:t>。</w:t>
      </w:r>
    </w:p>
    <w:p>
      <w:pPr>
        <w:pStyle w:val="3"/>
        <w:ind w:firstLine="42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4.2</w:t>
      </w:r>
      <w:r>
        <w:rPr>
          <w:rFonts w:hint="eastAsia" w:ascii="宋体" w:hAnsi="宋体" w:eastAsia="宋体" w:cs="宋体"/>
          <w:color w:val="auto"/>
          <w:sz w:val="24"/>
          <w:highlight w:val="none"/>
          <w:lang w:val="en-US" w:eastAsia="zh-CN"/>
        </w:rPr>
        <w:t>驻场</w:t>
      </w:r>
      <w:r>
        <w:rPr>
          <w:rFonts w:hint="eastAsia" w:ascii="宋体" w:hAnsi="宋体" w:eastAsia="宋体" w:cs="宋体"/>
          <w:color w:val="auto"/>
          <w:sz w:val="24"/>
          <w:highlight w:val="none"/>
          <w:lang w:val="en-US"/>
        </w:rPr>
        <w:t>人员要求：</w:t>
      </w:r>
    </w:p>
    <w:p>
      <w:pPr>
        <w:pStyle w:val="3"/>
        <w:ind w:firstLine="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实施工程师：</w:t>
      </w:r>
      <w:r>
        <w:rPr>
          <w:rFonts w:hint="eastAsia" w:ascii="宋体" w:hAnsi="宋体" w:eastAsia="宋体" w:cs="宋体"/>
          <w:color w:val="auto"/>
          <w:sz w:val="24"/>
          <w:highlight w:val="none"/>
          <w:lang w:val="en-US"/>
        </w:rPr>
        <w:t>项目驻场实施</w:t>
      </w:r>
      <w:r>
        <w:rPr>
          <w:rFonts w:hint="eastAsia" w:ascii="宋体" w:hAnsi="宋体" w:eastAsia="宋体" w:cs="宋体"/>
          <w:color w:val="auto"/>
          <w:sz w:val="24"/>
          <w:highlight w:val="none"/>
          <w:lang w:val="en-US" w:eastAsia="zh-CN"/>
        </w:rPr>
        <w:t>工程师</w:t>
      </w:r>
      <w:r>
        <w:rPr>
          <w:rFonts w:hint="eastAsia" w:ascii="宋体" w:hAnsi="宋体" w:eastAsia="宋体" w:cs="宋体"/>
          <w:color w:val="auto"/>
          <w:sz w:val="24"/>
          <w:highlight w:val="none"/>
          <w:lang w:val="en-US"/>
        </w:rPr>
        <w:t>需有2年以上</w:t>
      </w:r>
      <w:r>
        <w:rPr>
          <w:rFonts w:hint="eastAsia" w:ascii="宋体" w:hAnsi="宋体" w:eastAsia="宋体" w:cs="宋体"/>
          <w:color w:val="auto"/>
          <w:sz w:val="24"/>
          <w:highlight w:val="none"/>
          <w:lang w:val="en-US" w:eastAsia="zh-CN"/>
        </w:rPr>
        <w:t>本厂商</w:t>
      </w:r>
      <w:r>
        <w:rPr>
          <w:rFonts w:hint="eastAsia" w:ascii="宋体" w:hAnsi="宋体" w:eastAsia="宋体" w:cs="宋体"/>
          <w:color w:val="auto"/>
          <w:sz w:val="24"/>
          <w:highlight w:val="none"/>
          <w:lang w:val="en-US"/>
        </w:rPr>
        <w:t>同等项目实施经验</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rPr>
        <w:t>项目实施</w:t>
      </w:r>
      <w:r>
        <w:rPr>
          <w:rFonts w:hint="eastAsia" w:ascii="宋体" w:hAnsi="宋体" w:eastAsia="宋体" w:cs="宋体"/>
          <w:color w:val="auto"/>
          <w:sz w:val="24"/>
          <w:highlight w:val="none"/>
          <w:lang w:val="en-US" w:eastAsia="zh-CN"/>
        </w:rPr>
        <w:t>阶段</w:t>
      </w:r>
      <w:r>
        <w:rPr>
          <w:rFonts w:hint="eastAsia" w:ascii="宋体" w:hAnsi="宋体" w:eastAsia="宋体" w:cs="宋体"/>
          <w:color w:val="auto"/>
          <w:sz w:val="24"/>
          <w:highlight w:val="none"/>
          <w:lang w:val="en-US"/>
        </w:rPr>
        <w:t>，</w:t>
      </w:r>
      <w:r>
        <w:rPr>
          <w:rFonts w:hint="eastAsia" w:ascii="宋体" w:hAnsi="宋体" w:eastAsia="宋体" w:cs="宋体"/>
          <w:color w:val="auto"/>
          <w:sz w:val="24"/>
          <w:highlight w:val="none"/>
          <w:lang w:val="en-US" w:eastAsia="zh-CN"/>
        </w:rPr>
        <w:t>驻场</w:t>
      </w:r>
      <w:r>
        <w:rPr>
          <w:rFonts w:hint="eastAsia" w:ascii="宋体" w:hAnsi="宋体" w:eastAsia="宋体" w:cs="宋体"/>
          <w:color w:val="auto"/>
          <w:sz w:val="24"/>
          <w:highlight w:val="none"/>
          <w:lang w:val="en-US"/>
        </w:rPr>
        <w:t>实施</w:t>
      </w:r>
      <w:r>
        <w:rPr>
          <w:rFonts w:hint="eastAsia" w:ascii="宋体" w:hAnsi="宋体" w:eastAsia="宋体" w:cs="宋体"/>
          <w:color w:val="auto"/>
          <w:sz w:val="24"/>
          <w:highlight w:val="none"/>
          <w:lang w:val="en-US" w:eastAsia="zh-CN"/>
        </w:rPr>
        <w:t>工程师</w:t>
      </w:r>
      <w:r>
        <w:rPr>
          <w:rFonts w:hint="eastAsia" w:ascii="宋体" w:hAnsi="宋体" w:eastAsia="宋体" w:cs="宋体"/>
          <w:color w:val="auto"/>
          <w:sz w:val="24"/>
          <w:highlight w:val="none"/>
          <w:lang w:val="en-US"/>
        </w:rPr>
        <w:t>不得少于</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rPr>
        <w:t>名</w:t>
      </w:r>
      <w:r>
        <w:rPr>
          <w:rFonts w:hint="eastAsia" w:ascii="宋体" w:hAnsi="宋体" w:eastAsia="宋体" w:cs="宋体"/>
          <w:color w:val="auto"/>
          <w:sz w:val="24"/>
          <w:highlight w:val="none"/>
          <w:lang w:val="en-US" w:eastAsia="zh-CN"/>
        </w:rPr>
        <w:t>。</w:t>
      </w:r>
    </w:p>
    <w:p>
      <w:pPr>
        <w:pStyle w:val="3"/>
        <w:ind w:firstLine="420"/>
        <w:rPr>
          <w:rFonts w:hint="eastAsia" w:ascii="宋体" w:hAnsi="宋体" w:eastAsia="宋体" w:cs="宋体"/>
          <w:color w:val="auto"/>
          <w:sz w:val="24"/>
          <w:lang w:val="en-US" w:eastAsia="zh-CN"/>
        </w:rPr>
      </w:pPr>
      <w:r>
        <w:rPr>
          <w:rFonts w:hint="eastAsia" w:ascii="宋体" w:hAnsi="宋体" w:eastAsia="宋体" w:cs="宋体"/>
          <w:color w:val="auto"/>
          <w:sz w:val="24"/>
          <w:lang w:val="en-US"/>
        </w:rPr>
        <w:t>如需更换</w:t>
      </w:r>
      <w:r>
        <w:rPr>
          <w:rFonts w:hint="eastAsia" w:ascii="宋体" w:hAnsi="宋体" w:eastAsia="宋体" w:cs="宋体"/>
          <w:color w:val="auto"/>
          <w:sz w:val="24"/>
          <w:lang w:val="en-US" w:eastAsia="zh-CN"/>
        </w:rPr>
        <w:t>开发工程师、实施工程师</w:t>
      </w:r>
      <w:r>
        <w:rPr>
          <w:rFonts w:hint="eastAsia" w:ascii="宋体" w:hAnsi="宋体" w:eastAsia="宋体" w:cs="宋体"/>
          <w:color w:val="auto"/>
          <w:sz w:val="24"/>
          <w:lang w:val="en-US"/>
        </w:rPr>
        <w:t>，</w:t>
      </w:r>
      <w:r>
        <w:rPr>
          <w:rFonts w:hint="eastAsia" w:ascii="宋体" w:hAnsi="宋体" w:eastAsia="宋体" w:cs="宋体"/>
          <w:color w:val="auto"/>
          <w:sz w:val="24"/>
          <w:lang w:val="en-US" w:eastAsia="zh-CN"/>
        </w:rPr>
        <w:t>厂商</w:t>
      </w:r>
      <w:r>
        <w:rPr>
          <w:rFonts w:hint="eastAsia" w:ascii="宋体" w:hAnsi="宋体" w:eastAsia="宋体" w:cs="宋体"/>
          <w:color w:val="auto"/>
          <w:sz w:val="24"/>
          <w:lang w:val="en-US"/>
        </w:rPr>
        <w:t>需提交书面申请，经院方同意才可更换。</w:t>
      </w:r>
    </w:p>
    <w:p>
      <w:pPr>
        <w:pStyle w:val="3"/>
        <w:ind w:firstLine="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竞标文件中需提供软件提供商项目驻场人员清单（含项目开发和项目实施人员），清单中标明驻场人员详细信息，如姓名、联系方式、技术职称、社保证明等。</w:t>
      </w:r>
    </w:p>
    <w:p>
      <w:pPr>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因厂商与院方存在对需求理解有差异的可能性，要求所有软件功能需求的响应以院方意见为准</w:t>
      </w:r>
      <w:r>
        <w:rPr>
          <w:rFonts w:hint="eastAsia" w:ascii="宋体" w:hAnsi="宋体" w:eastAsia="宋体" w:cs="宋体"/>
          <w:color w:val="auto"/>
          <w:sz w:val="24"/>
          <w:szCs w:val="24"/>
          <w:lang w:eastAsia="zh-CN"/>
        </w:rPr>
        <w:t>。</w:t>
      </w:r>
    </w:p>
    <w:p>
      <w:pPr>
        <w:pStyle w:val="3"/>
        <w:rPr>
          <w:lang w:val="en-US"/>
        </w:rPr>
      </w:pPr>
    </w:p>
    <w:p>
      <w:pPr>
        <w:pStyle w:val="2"/>
        <w:numPr>
          <w:ilvl w:val="0"/>
          <w:numId w:val="0"/>
        </w:numPr>
        <w:spacing w:before="312" w:beforeLines="100" w:line="360" w:lineRule="auto"/>
        <w:rPr>
          <w:rFonts w:ascii="宋体" w:hAnsi="宋体"/>
          <w:bCs w:val="0"/>
          <w:sz w:val="32"/>
          <w:szCs w:val="32"/>
        </w:rPr>
      </w:pPr>
      <w:r>
        <w:rPr>
          <w:rFonts w:hint="eastAsia" w:ascii="宋体" w:hAnsi="宋体"/>
          <w:bCs w:val="0"/>
          <w:sz w:val="32"/>
          <w:szCs w:val="32"/>
        </w:rPr>
        <w:t>五、售后服务及其他要求</w:t>
      </w:r>
    </w:p>
    <w:p>
      <w:pPr>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5.1自本项目整体最终验收之日起，所有产品要求提供一年的免费维保服务。含软硬件维护和系统软件升级、技术支持服务、系统管理及操作培训，免费提供系统个性化修改需求。请详细说明售后服务的内容和维保方案以及维保期后续保方案及费用。</w:t>
      </w:r>
    </w:p>
    <w:p>
      <w:pPr>
        <w:pStyle w:val="10"/>
        <w:spacing w:line="360" w:lineRule="auto"/>
        <w:jc w:val="left"/>
        <w:rPr>
          <w:rFonts w:ascii="宋体" w:hAnsi="宋体" w:cs="宋体"/>
          <w:kern w:val="2"/>
          <w:sz w:val="24"/>
          <w:szCs w:val="24"/>
        </w:rPr>
      </w:pPr>
      <w:r>
        <w:rPr>
          <w:rFonts w:hint="eastAsia" w:ascii="宋体" w:hAnsi="宋体" w:cs="宋体"/>
          <w:kern w:val="2"/>
          <w:sz w:val="24"/>
          <w:szCs w:val="24"/>
        </w:rPr>
        <w:t>5.2安装调试要求：免费送货上门、安装调试、提供完善的设备及软件系统使用中文操作手册、图纸、网络详细拓扑图、系统配置、功能配置、</w:t>
      </w:r>
      <w:r>
        <w:rPr>
          <w:rFonts w:hint="eastAsia" w:ascii="宋体" w:hAnsi="宋体" w:cs="宋体"/>
          <w:kern w:val="2"/>
          <w:sz w:val="24"/>
          <w:szCs w:val="24"/>
          <w:lang w:eastAsia="zh-CN"/>
        </w:rPr>
        <w:t>服务器</w:t>
      </w:r>
      <w:r>
        <w:rPr>
          <w:rFonts w:hint="eastAsia" w:ascii="宋体" w:hAnsi="宋体" w:cs="宋体"/>
          <w:kern w:val="2"/>
          <w:sz w:val="24"/>
          <w:szCs w:val="24"/>
        </w:rPr>
        <w:t>配置及互联记录；</w:t>
      </w:r>
    </w:p>
    <w:p>
      <w:pPr>
        <w:pStyle w:val="10"/>
        <w:spacing w:line="360" w:lineRule="auto"/>
        <w:jc w:val="left"/>
        <w:rPr>
          <w:rFonts w:hint="eastAsia" w:ascii="宋体" w:hAnsi="宋体" w:cs="宋体"/>
          <w:kern w:val="2"/>
          <w:sz w:val="24"/>
          <w:szCs w:val="24"/>
        </w:rPr>
      </w:pPr>
      <w:r>
        <w:rPr>
          <w:rFonts w:hint="eastAsia" w:ascii="宋体" w:hAnsi="宋体" w:cs="宋体"/>
          <w:kern w:val="2"/>
          <w:sz w:val="24"/>
          <w:szCs w:val="24"/>
        </w:rPr>
        <w:t>5.3原厂技术人员免费提供售后服务，含电话支持、现场响应、远程操作、网上客服中心等多种方式服务，应做到7×24小时全天候电话或微信等常用联系方式响应。</w:t>
      </w:r>
      <w:bookmarkStart w:id="6" w:name="_Toc507405798"/>
      <w:r>
        <w:rPr>
          <w:rFonts w:hint="eastAsia" w:ascii="宋体" w:hAnsi="宋体" w:cs="宋体"/>
          <w:kern w:val="2"/>
          <w:sz w:val="24"/>
          <w:szCs w:val="24"/>
        </w:rPr>
        <w:t>当出现故障时，接到故障通知后，原厂技术人员应在</w:t>
      </w:r>
      <w:r>
        <w:rPr>
          <w:rFonts w:hint="eastAsia" w:ascii="宋体" w:hAnsi="宋体" w:cs="宋体"/>
          <w:kern w:val="2"/>
          <w:sz w:val="24"/>
          <w:szCs w:val="24"/>
          <w:lang w:val="en-US" w:eastAsia="zh-CN"/>
        </w:rPr>
        <w:t>30分钟</w:t>
      </w:r>
      <w:r>
        <w:rPr>
          <w:rFonts w:hint="eastAsia" w:ascii="宋体" w:hAnsi="宋体" w:cs="宋体"/>
          <w:kern w:val="2"/>
          <w:sz w:val="24"/>
          <w:szCs w:val="24"/>
        </w:rPr>
        <w:t>内响应，远程技术支持无法解决的，</w:t>
      </w:r>
      <w:r>
        <w:rPr>
          <w:rFonts w:hint="eastAsia" w:ascii="宋体" w:hAnsi="宋体" w:cs="宋体"/>
          <w:kern w:val="2"/>
          <w:sz w:val="24"/>
          <w:szCs w:val="24"/>
          <w:lang w:val="en-US" w:eastAsia="zh-CN"/>
        </w:rPr>
        <w:t>24</w:t>
      </w:r>
      <w:r>
        <w:rPr>
          <w:rFonts w:hint="eastAsia" w:ascii="宋体" w:hAnsi="宋体" w:cs="宋体"/>
          <w:kern w:val="2"/>
          <w:sz w:val="24"/>
          <w:szCs w:val="24"/>
        </w:rPr>
        <w:t>小时内需到达现场处理修复，并调查分析事故原因。</w:t>
      </w:r>
    </w:p>
    <w:p>
      <w:pPr>
        <w:pStyle w:val="10"/>
        <w:spacing w:line="360" w:lineRule="auto"/>
        <w:jc w:val="left"/>
        <w:rPr>
          <w:rFonts w:hint="eastAsia" w:ascii="宋体" w:hAnsi="宋体" w:cs="宋体"/>
          <w:kern w:val="2"/>
          <w:sz w:val="24"/>
          <w:szCs w:val="24"/>
        </w:rPr>
      </w:pPr>
      <w:r>
        <w:rPr>
          <w:rFonts w:hint="eastAsia" w:ascii="宋体" w:hAnsi="宋体" w:cs="宋体"/>
          <w:kern w:val="2"/>
          <w:sz w:val="24"/>
          <w:szCs w:val="24"/>
        </w:rPr>
        <w:t>5.4供应商提供原厂技术人员定期回访服务，定期通过电话或其他方式访问用户，了解产品使用情况及网络安全情况，须每季度</w:t>
      </w:r>
      <w:r>
        <w:rPr>
          <w:rFonts w:hint="eastAsia" w:ascii="宋体" w:hAnsi="宋体" w:cs="宋体"/>
          <w:kern w:val="2"/>
          <w:sz w:val="24"/>
          <w:szCs w:val="24"/>
          <w:lang w:val="en-US" w:eastAsia="zh-CN"/>
        </w:rPr>
        <w:t>至少一次</w:t>
      </w:r>
      <w:r>
        <w:rPr>
          <w:rFonts w:hint="eastAsia" w:ascii="宋体" w:hAnsi="宋体" w:cs="宋体"/>
          <w:kern w:val="2"/>
          <w:sz w:val="24"/>
          <w:szCs w:val="24"/>
        </w:rPr>
        <w:t>进行现场巡检，并形成书面巡检服务报告，加盖有效公章并反馈给我院（要求提供巡检报告模板，内容涉及此项目相关设备的运行情况及现场巡检照片）。</w:t>
      </w:r>
    </w:p>
    <w:p>
      <w:pPr>
        <w:pStyle w:val="3"/>
        <w:spacing w:after="0"/>
        <w:rPr>
          <w:rFonts w:hint="eastAsia" w:ascii="宋体" w:hAnsi="宋体" w:eastAsia="宋体" w:cs="宋体"/>
          <w:kern w:val="2"/>
          <w:sz w:val="24"/>
          <w:szCs w:val="24"/>
          <w:lang w:val="en-US" w:eastAsia="zh-CN" w:bidi="ar-SA"/>
        </w:rPr>
      </w:pPr>
      <w:r>
        <w:rPr>
          <w:rFonts w:hint="eastAsia" w:ascii="宋体" w:hAnsi="宋体" w:eastAsia="宋体" w:cs="宋体"/>
          <w:b/>
          <w:bCs/>
          <w:color w:val="auto"/>
          <w:sz w:val="28"/>
          <w:lang w:val="en-US"/>
        </w:rPr>
        <w:t>六、违约责任</w:t>
      </w:r>
    </w:p>
    <w:p>
      <w:pPr>
        <w:pStyle w:val="10"/>
        <w:spacing w:line="360" w:lineRule="auto"/>
        <w:jc w:val="left"/>
        <w:rPr>
          <w:rFonts w:hint="eastAsia" w:ascii="宋体" w:hAnsi="宋体" w:cs="宋体"/>
          <w:kern w:val="2"/>
          <w:sz w:val="24"/>
          <w:szCs w:val="24"/>
        </w:rPr>
      </w:pPr>
      <w:r>
        <w:rPr>
          <w:rFonts w:hint="eastAsia" w:ascii="宋体" w:hAnsi="宋体" w:cs="宋体"/>
          <w:kern w:val="2"/>
          <w:sz w:val="24"/>
          <w:szCs w:val="24"/>
        </w:rPr>
        <w:t>6.1投标方所提供的货物规格、技术标准、材料等质量不合格的，应及时更换，更换不及时的按逾期交货处罚；因质量问题我院不同意接收，投标方应向我院支付违约货款额5%违约金并赔偿我院经济损失。</w:t>
      </w:r>
    </w:p>
    <w:p>
      <w:pPr>
        <w:pStyle w:val="10"/>
        <w:spacing w:line="360" w:lineRule="auto"/>
        <w:jc w:val="left"/>
        <w:rPr>
          <w:rFonts w:hint="eastAsia" w:ascii="宋体" w:hAnsi="宋体" w:cs="宋体"/>
          <w:kern w:val="2"/>
          <w:sz w:val="24"/>
          <w:szCs w:val="24"/>
        </w:rPr>
      </w:pPr>
      <w:r>
        <w:rPr>
          <w:rFonts w:hint="eastAsia" w:ascii="宋体" w:hAnsi="宋体" w:cs="宋体"/>
          <w:kern w:val="2"/>
          <w:sz w:val="24"/>
          <w:szCs w:val="24"/>
        </w:rPr>
        <w:t>6.2投标方提供的系统如侵犯了第三方合法权益而引发的任何纠纷或诉讼，均由投标方负责交涉并承担全部责任。</w:t>
      </w:r>
    </w:p>
    <w:p>
      <w:pPr>
        <w:pStyle w:val="10"/>
        <w:spacing w:line="360" w:lineRule="auto"/>
        <w:jc w:val="left"/>
        <w:rPr>
          <w:rFonts w:hint="eastAsia" w:ascii="宋体" w:hAnsi="宋体" w:cs="宋体"/>
          <w:kern w:val="2"/>
          <w:sz w:val="24"/>
          <w:szCs w:val="24"/>
        </w:rPr>
      </w:pPr>
      <w:r>
        <w:rPr>
          <w:rFonts w:hint="eastAsia" w:ascii="宋体" w:hAnsi="宋体" w:cs="宋体"/>
          <w:kern w:val="2"/>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pPr>
        <w:pStyle w:val="10"/>
        <w:spacing w:line="360" w:lineRule="auto"/>
        <w:jc w:val="left"/>
        <w:rPr>
          <w:rFonts w:hint="eastAsia" w:ascii="宋体" w:hAnsi="宋体" w:cs="宋体"/>
          <w:kern w:val="2"/>
          <w:sz w:val="24"/>
          <w:szCs w:val="24"/>
          <w:lang w:val="en-US"/>
        </w:rPr>
      </w:pPr>
      <w:r>
        <w:rPr>
          <w:rFonts w:hint="eastAsia" w:ascii="宋体" w:hAnsi="宋体" w:cs="宋体"/>
          <w:kern w:val="2"/>
          <w:sz w:val="24"/>
          <w:szCs w:val="24"/>
          <w:lang w:val="en-US"/>
        </w:rPr>
        <w:t>6.4</w:t>
      </w:r>
      <w:r>
        <w:rPr>
          <w:rFonts w:hint="eastAsia" w:ascii="宋体" w:hAnsi="宋体" w:cs="宋体"/>
          <w:kern w:val="2"/>
          <w:sz w:val="24"/>
          <w:szCs w:val="24"/>
        </w:rPr>
        <w:t> 投标方逾期交货的，每天向</w:t>
      </w:r>
      <w:r>
        <w:rPr>
          <w:rFonts w:hint="eastAsia" w:ascii="宋体" w:hAnsi="宋体" w:cs="宋体"/>
          <w:kern w:val="2"/>
          <w:sz w:val="24"/>
          <w:szCs w:val="24"/>
          <w:lang w:eastAsia="zh-CN"/>
        </w:rPr>
        <w:t>甲方</w:t>
      </w:r>
      <w:r>
        <w:rPr>
          <w:rFonts w:hint="eastAsia" w:ascii="宋体" w:hAnsi="宋体" w:cs="宋体"/>
          <w:kern w:val="2"/>
          <w:sz w:val="24"/>
          <w:szCs w:val="24"/>
        </w:rPr>
        <w:t>偿付违约货款额3‰违约金，但违约金累计不得超过违约货款额 5% ，超过30天对方有权解除合同，违约方承担因此给对方造成的经济损失；</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rPr>
        <w:t>6.5售后服务违约</w:t>
      </w:r>
      <w:r>
        <w:rPr>
          <w:rFonts w:hint="eastAsia" w:ascii="宋体" w:hAnsi="宋体" w:cs="宋体"/>
          <w:kern w:val="2"/>
          <w:sz w:val="24"/>
          <w:szCs w:val="24"/>
          <w:lang w:val="en-US" w:eastAsia="zh-CN"/>
        </w:rPr>
        <w:t>：</w:t>
      </w:r>
    </w:p>
    <w:p>
      <w:pPr>
        <w:pStyle w:val="10"/>
        <w:spacing w:line="360" w:lineRule="auto"/>
        <w:jc w:val="left"/>
        <w:rPr>
          <w:rFonts w:hint="eastAsia" w:ascii="宋体" w:hAnsi="宋体" w:cs="宋体"/>
          <w:kern w:val="2"/>
          <w:sz w:val="24"/>
          <w:szCs w:val="24"/>
          <w:lang w:val="en-US"/>
        </w:rPr>
      </w:pPr>
      <w:r>
        <w:rPr>
          <w:rFonts w:hint="eastAsia" w:ascii="宋体" w:hAnsi="宋体" w:cs="宋体"/>
          <w:kern w:val="2"/>
          <w:sz w:val="24"/>
          <w:szCs w:val="24"/>
          <w:lang w:val="en-US"/>
        </w:rPr>
        <w:t>6.5.1每缺少1次现场巡检记录，投标方应向</w:t>
      </w:r>
      <w:r>
        <w:rPr>
          <w:rFonts w:hint="eastAsia" w:ascii="宋体" w:hAnsi="宋体" w:cs="宋体"/>
          <w:kern w:val="2"/>
          <w:sz w:val="24"/>
          <w:szCs w:val="24"/>
          <w:lang w:val="en-US" w:eastAsia="zh-CN"/>
        </w:rPr>
        <w:t>甲方</w:t>
      </w:r>
      <w:r>
        <w:rPr>
          <w:rFonts w:hint="eastAsia" w:ascii="宋体" w:hAnsi="宋体" w:cs="宋体"/>
          <w:kern w:val="2"/>
          <w:sz w:val="24"/>
          <w:szCs w:val="24"/>
          <w:lang w:val="en-US"/>
        </w:rPr>
        <w:t>支付违约金5000元；</w:t>
      </w:r>
    </w:p>
    <w:p>
      <w:pPr>
        <w:pStyle w:val="10"/>
        <w:spacing w:line="360" w:lineRule="auto"/>
        <w:jc w:val="left"/>
        <w:rPr>
          <w:rFonts w:hint="eastAsia" w:ascii="宋体" w:hAnsi="宋体" w:cs="宋体"/>
          <w:kern w:val="2"/>
          <w:sz w:val="24"/>
          <w:szCs w:val="24"/>
          <w:lang w:val="en-US"/>
        </w:rPr>
      </w:pPr>
      <w:r>
        <w:rPr>
          <w:rFonts w:hint="eastAsia" w:ascii="宋体" w:hAnsi="宋体" w:cs="宋体"/>
          <w:kern w:val="2"/>
          <w:sz w:val="24"/>
          <w:szCs w:val="24"/>
          <w:lang w:val="en-US"/>
        </w:rPr>
        <w:t>6.5.2不能按本</w:t>
      </w:r>
      <w:r>
        <w:rPr>
          <w:rFonts w:hint="eastAsia" w:ascii="宋体" w:hAnsi="宋体" w:cs="宋体"/>
          <w:kern w:val="2"/>
          <w:sz w:val="24"/>
          <w:szCs w:val="24"/>
          <w:lang w:val="en-US" w:eastAsia="zh-CN"/>
        </w:rPr>
        <w:t>技术参数文档</w:t>
      </w:r>
      <w:r>
        <w:rPr>
          <w:rFonts w:hint="eastAsia" w:ascii="宋体" w:hAnsi="宋体" w:cs="宋体"/>
          <w:kern w:val="2"/>
          <w:sz w:val="24"/>
          <w:szCs w:val="24"/>
          <w:lang w:val="en-US"/>
        </w:rPr>
        <w:t>第5.3要求中按时提供设备备件的，故障上报24小时不能免费提供同档次或更高档次的备用设备解决问题，每超期一天，按500元/天</w:t>
      </w:r>
      <w:r>
        <w:rPr>
          <w:rFonts w:hint="eastAsia" w:ascii="宋体" w:hAnsi="宋体" w:cs="宋体"/>
          <w:kern w:val="2"/>
          <w:sz w:val="24"/>
          <w:szCs w:val="24"/>
          <w:lang w:val="en-US" w:eastAsia="zh-CN"/>
        </w:rPr>
        <w:t>向甲方</w:t>
      </w:r>
      <w:r>
        <w:rPr>
          <w:rFonts w:hint="eastAsia" w:ascii="宋体" w:hAnsi="宋体" w:cs="宋体"/>
          <w:kern w:val="2"/>
          <w:sz w:val="24"/>
          <w:szCs w:val="24"/>
          <w:lang w:val="en-US"/>
        </w:rPr>
        <w:t>支付违约金；</w:t>
      </w:r>
    </w:p>
    <w:p>
      <w:pPr>
        <w:pStyle w:val="10"/>
        <w:spacing w:line="360" w:lineRule="auto"/>
        <w:jc w:val="left"/>
        <w:rPr>
          <w:rFonts w:hint="eastAsia" w:ascii="宋体" w:hAnsi="宋体" w:cs="宋体"/>
          <w:kern w:val="2"/>
          <w:sz w:val="24"/>
          <w:szCs w:val="24"/>
          <w:lang w:val="en-US"/>
        </w:rPr>
      </w:pPr>
      <w:r>
        <w:rPr>
          <w:rFonts w:hint="eastAsia" w:ascii="宋体" w:hAnsi="宋体" w:cs="宋体"/>
          <w:kern w:val="2"/>
          <w:sz w:val="24"/>
          <w:szCs w:val="24"/>
          <w:lang w:val="en-US"/>
        </w:rPr>
        <w:t>6.5.3 投标方未按本技术要求和响应文件中规定的其他服务承诺提供售后服务的，每次投标方应按合同合计金额的5% 向</w:t>
      </w:r>
      <w:r>
        <w:rPr>
          <w:rFonts w:hint="eastAsia" w:ascii="宋体" w:hAnsi="宋体" w:cs="宋体"/>
          <w:kern w:val="2"/>
          <w:sz w:val="24"/>
          <w:szCs w:val="24"/>
          <w:lang w:val="en-US" w:eastAsia="zh-CN"/>
        </w:rPr>
        <w:t>甲方</w:t>
      </w:r>
      <w:r>
        <w:rPr>
          <w:rFonts w:hint="eastAsia" w:ascii="宋体" w:hAnsi="宋体" w:cs="宋体"/>
          <w:kern w:val="2"/>
          <w:sz w:val="24"/>
          <w:szCs w:val="24"/>
          <w:lang w:val="en-US"/>
        </w:rPr>
        <w:t>支付违约金。</w:t>
      </w:r>
    </w:p>
    <w:p>
      <w:pPr>
        <w:pStyle w:val="10"/>
        <w:spacing w:line="360" w:lineRule="auto"/>
        <w:jc w:val="left"/>
        <w:rPr>
          <w:rFonts w:hint="eastAsia" w:ascii="宋体" w:hAnsi="宋体" w:cs="宋体"/>
          <w:kern w:val="2"/>
          <w:sz w:val="24"/>
          <w:szCs w:val="24"/>
          <w:lang w:val="en-US"/>
        </w:rPr>
      </w:pPr>
      <w:r>
        <w:rPr>
          <w:rFonts w:hint="eastAsia" w:ascii="宋体" w:hAnsi="宋体" w:cs="宋体"/>
          <w:kern w:val="2"/>
          <w:sz w:val="24"/>
          <w:szCs w:val="24"/>
        </w:rPr>
        <w:t>6.6合同签订后7个工作日内进场实施，每个模块计划实施周期需在合同内写明。因</w:t>
      </w:r>
      <w:r>
        <w:rPr>
          <w:rFonts w:hint="eastAsia" w:ascii="宋体" w:hAnsi="宋体" w:cs="宋体"/>
          <w:kern w:val="2"/>
          <w:sz w:val="24"/>
          <w:szCs w:val="24"/>
          <w:lang w:eastAsia="zh-CN"/>
        </w:rPr>
        <w:t>软件提供商</w:t>
      </w:r>
      <w:r>
        <w:rPr>
          <w:rFonts w:hint="eastAsia" w:ascii="宋体" w:hAnsi="宋体" w:cs="宋体"/>
          <w:kern w:val="2"/>
          <w:sz w:val="24"/>
          <w:szCs w:val="24"/>
        </w:rPr>
        <w:t>原因逾期不进场实施的，需按每天向院方支付合同款金额3‰作为违约金</w:t>
      </w:r>
      <w:r>
        <w:rPr>
          <w:rFonts w:hint="eastAsia" w:ascii="宋体" w:hAnsi="宋体" w:cs="宋体"/>
          <w:kern w:val="2"/>
          <w:sz w:val="24"/>
          <w:szCs w:val="24"/>
          <w:lang w:eastAsia="zh-CN"/>
        </w:rPr>
        <w:t>，</w:t>
      </w:r>
      <w:r>
        <w:rPr>
          <w:rFonts w:hint="eastAsia" w:ascii="宋体" w:hAnsi="宋体" w:cs="宋体"/>
          <w:kern w:val="2"/>
          <w:sz w:val="24"/>
          <w:szCs w:val="24"/>
        </w:rPr>
        <w:t>超过30天，</w:t>
      </w:r>
      <w:r>
        <w:rPr>
          <w:rFonts w:hint="eastAsia" w:ascii="宋体" w:hAnsi="宋体" w:cs="宋体"/>
          <w:kern w:val="2"/>
          <w:sz w:val="24"/>
          <w:szCs w:val="24"/>
          <w:lang w:eastAsia="zh-CN"/>
        </w:rPr>
        <w:t>甲</w:t>
      </w:r>
      <w:r>
        <w:rPr>
          <w:rFonts w:hint="eastAsia" w:ascii="宋体" w:hAnsi="宋体" w:cs="宋体"/>
          <w:kern w:val="2"/>
          <w:sz w:val="24"/>
          <w:szCs w:val="24"/>
        </w:rPr>
        <w:t>有权解除合同，</w:t>
      </w:r>
      <w:r>
        <w:rPr>
          <w:rFonts w:hint="eastAsia" w:ascii="宋体" w:hAnsi="宋体" w:cs="宋体"/>
          <w:kern w:val="2"/>
          <w:sz w:val="24"/>
          <w:szCs w:val="24"/>
          <w:lang w:eastAsia="zh-CN"/>
        </w:rPr>
        <w:t>乙方</w:t>
      </w:r>
      <w:r>
        <w:rPr>
          <w:rFonts w:hint="eastAsia" w:ascii="宋体" w:hAnsi="宋体" w:cs="宋体"/>
          <w:kern w:val="2"/>
          <w:sz w:val="24"/>
          <w:szCs w:val="24"/>
        </w:rPr>
        <w:t>需承担因此给院方造成的经济损失；</w:t>
      </w:r>
      <w:r>
        <w:rPr>
          <w:rFonts w:hint="eastAsia" w:ascii="宋体" w:hAnsi="宋体" w:cs="宋体"/>
          <w:kern w:val="2"/>
          <w:sz w:val="24"/>
          <w:szCs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w:t>
      </w:r>
      <w:r>
        <w:rPr>
          <w:rFonts w:hint="eastAsia" w:ascii="宋体" w:hAnsi="宋体" w:cs="宋体"/>
          <w:kern w:val="2"/>
          <w:sz w:val="24"/>
          <w:szCs w:val="24"/>
          <w:lang w:val="en-US" w:eastAsia="zh-CN"/>
        </w:rPr>
        <w:t>乙方</w:t>
      </w:r>
      <w:r>
        <w:rPr>
          <w:rFonts w:hint="eastAsia" w:ascii="宋体" w:hAnsi="宋体" w:cs="宋体"/>
          <w:kern w:val="2"/>
          <w:sz w:val="24"/>
          <w:szCs w:val="24"/>
          <w:lang w:val="en-US"/>
        </w:rPr>
        <w:t>违约，</w:t>
      </w:r>
      <w:r>
        <w:rPr>
          <w:rFonts w:hint="eastAsia" w:ascii="宋体" w:hAnsi="宋体" w:cs="宋体"/>
          <w:kern w:val="2"/>
          <w:sz w:val="24"/>
          <w:szCs w:val="24"/>
          <w:lang w:val="en-US" w:eastAsia="zh-CN"/>
        </w:rPr>
        <w:t>甲方</w:t>
      </w:r>
      <w:r>
        <w:rPr>
          <w:rFonts w:hint="eastAsia" w:ascii="宋体" w:hAnsi="宋体" w:cs="宋体"/>
          <w:kern w:val="2"/>
          <w:sz w:val="24"/>
          <w:szCs w:val="24"/>
          <w:lang w:val="en-US"/>
        </w:rPr>
        <w:t>有权单方面解除合同，并要求</w:t>
      </w:r>
      <w:r>
        <w:rPr>
          <w:rFonts w:hint="eastAsia" w:ascii="宋体" w:hAnsi="宋体" w:cs="宋体"/>
          <w:kern w:val="2"/>
          <w:sz w:val="24"/>
          <w:szCs w:val="24"/>
          <w:lang w:val="en-US" w:eastAsia="zh-CN"/>
        </w:rPr>
        <w:t>乙方</w:t>
      </w:r>
      <w:r>
        <w:rPr>
          <w:rFonts w:hint="eastAsia" w:ascii="宋体" w:hAnsi="宋体" w:cs="宋体"/>
          <w:kern w:val="2"/>
          <w:sz w:val="24"/>
          <w:szCs w:val="24"/>
          <w:lang w:val="en-US"/>
        </w:rPr>
        <w:t>退回所有医院已支付款项，同时</w:t>
      </w:r>
      <w:r>
        <w:rPr>
          <w:rFonts w:hint="eastAsia" w:ascii="宋体" w:hAnsi="宋体" w:cs="宋体"/>
          <w:kern w:val="2"/>
          <w:sz w:val="24"/>
          <w:szCs w:val="24"/>
          <w:lang w:val="en-US" w:eastAsia="zh-CN"/>
        </w:rPr>
        <w:t>按</w:t>
      </w:r>
      <w:r>
        <w:rPr>
          <w:rFonts w:hint="eastAsia" w:ascii="宋体" w:hAnsi="宋体" w:cs="宋体"/>
          <w:kern w:val="2"/>
          <w:sz w:val="24"/>
          <w:szCs w:val="24"/>
          <w:lang w:val="en-US"/>
        </w:rPr>
        <w:t>合同总金额的20%做为违约金</w:t>
      </w:r>
      <w:r>
        <w:rPr>
          <w:rFonts w:hint="eastAsia" w:ascii="宋体" w:hAnsi="宋体" w:cs="宋体"/>
          <w:kern w:val="2"/>
          <w:sz w:val="24"/>
          <w:szCs w:val="24"/>
          <w:lang w:val="en-US" w:eastAsia="zh-CN"/>
        </w:rPr>
        <w:t>支付给甲方</w:t>
      </w:r>
      <w:r>
        <w:rPr>
          <w:rFonts w:hint="eastAsia" w:ascii="宋体" w:hAnsi="宋体" w:cs="宋体"/>
          <w:kern w:val="2"/>
          <w:sz w:val="24"/>
          <w:szCs w:val="24"/>
          <w:lang w:val="en-US"/>
        </w:rPr>
        <w:t>。</w:t>
      </w:r>
    </w:p>
    <w:p>
      <w:pPr>
        <w:pStyle w:val="10"/>
        <w:spacing w:line="360" w:lineRule="auto"/>
        <w:jc w:val="left"/>
        <w:rPr>
          <w:rFonts w:hint="eastAsia" w:ascii="宋体" w:hAnsi="宋体" w:cs="宋体"/>
          <w:kern w:val="2"/>
          <w:sz w:val="24"/>
          <w:szCs w:val="24"/>
          <w:lang w:val="en-US"/>
        </w:rPr>
      </w:pPr>
      <w:r>
        <w:rPr>
          <w:rFonts w:hint="eastAsia" w:ascii="宋体" w:hAnsi="宋体" w:cs="宋体"/>
          <w:kern w:val="2"/>
          <w:sz w:val="24"/>
          <w:szCs w:val="24"/>
          <w:lang w:val="en-US"/>
        </w:rPr>
        <w:t>6.7任何一方违反本技术要求中“保密、廉洁条款”要求的，应承担相应的违约责任并赔偿由此造成的损失，损失累计金额超过合同款项的5%的，损失方同时有权终止合同并收回已付款项。</w:t>
      </w:r>
    </w:p>
    <w:p>
      <w:pPr>
        <w:pStyle w:val="10"/>
        <w:spacing w:line="360" w:lineRule="auto"/>
        <w:jc w:val="left"/>
        <w:rPr>
          <w:rFonts w:hint="eastAsia" w:ascii="宋体" w:hAnsi="宋体" w:cs="宋体"/>
          <w:kern w:val="2"/>
          <w:sz w:val="24"/>
          <w:szCs w:val="24"/>
          <w:lang w:val="en-US"/>
        </w:rPr>
      </w:pPr>
      <w:r>
        <w:rPr>
          <w:rFonts w:hint="eastAsia" w:ascii="宋体" w:hAnsi="宋体" w:cs="宋体"/>
          <w:kern w:val="2"/>
          <w:sz w:val="24"/>
          <w:szCs w:val="24"/>
          <w:lang w:val="en-US"/>
        </w:rPr>
        <w:t>6.</w:t>
      </w:r>
      <w:r>
        <w:rPr>
          <w:rFonts w:hint="eastAsia" w:ascii="宋体" w:hAnsi="宋体" w:cs="宋体"/>
          <w:kern w:val="2"/>
          <w:sz w:val="24"/>
          <w:szCs w:val="24"/>
          <w:lang w:val="en-US" w:eastAsia="zh-CN"/>
        </w:rPr>
        <w:t>8厂商</w:t>
      </w:r>
      <w:r>
        <w:rPr>
          <w:rFonts w:hint="eastAsia" w:ascii="宋体" w:hAnsi="宋体" w:cs="宋体"/>
          <w:kern w:val="2"/>
          <w:sz w:val="24"/>
          <w:szCs w:val="24"/>
          <w:lang w:val="en-US"/>
        </w:rPr>
        <w:t>方未按本技术要求和响应文件中规定的其他服务承诺提供售后服务的，按损失情况，每次应按合同合计金额的0.1‰-0.1%</w:t>
      </w:r>
      <w:r>
        <w:rPr>
          <w:rFonts w:hint="eastAsia" w:ascii="宋体" w:hAnsi="宋体" w:cs="宋体"/>
          <w:kern w:val="2"/>
          <w:sz w:val="24"/>
          <w:szCs w:val="24"/>
          <w:lang w:val="en-US" w:eastAsia="zh-CN"/>
        </w:rPr>
        <w:t>由乙方</w:t>
      </w:r>
      <w:r>
        <w:rPr>
          <w:rFonts w:hint="eastAsia" w:ascii="宋体" w:hAnsi="宋体" w:cs="宋体"/>
          <w:kern w:val="2"/>
          <w:sz w:val="24"/>
          <w:szCs w:val="24"/>
          <w:lang w:val="en-US"/>
        </w:rPr>
        <w:t>向甲方支付违约金，损失累计金额超过合同款项的5%的，损失方同时有权终止合同并收回已付款项。</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6.9厂商不得在服务器和软件系统中设置包括且不限于如：时间锁，授权码等可以限制硬件及软件系统正常运行的措施，否则视为乙方违约，乙方需要支付医院违约金5000元（伍</w:t>
      </w:r>
      <w:r>
        <w:rPr>
          <w:rFonts w:hint="default" w:ascii="宋体" w:hAnsi="宋体" w:cs="宋体"/>
          <w:kern w:val="2"/>
          <w:sz w:val="24"/>
          <w:szCs w:val="24"/>
          <w:lang w:val="en-US" w:eastAsia="zh-CN"/>
        </w:rPr>
        <w:t>仟</w:t>
      </w:r>
      <w:r>
        <w:rPr>
          <w:rFonts w:hint="eastAsia" w:ascii="宋体" w:hAnsi="宋体" w:cs="宋体"/>
          <w:kern w:val="2"/>
          <w:sz w:val="24"/>
          <w:szCs w:val="24"/>
          <w:lang w:val="en-US" w:eastAsia="zh-CN"/>
        </w:rPr>
        <w:t>元），在此基础上医院有权要求乙方退回甲方已支付的所有款项。如对医院造成损失的，甲方有权要求乙方赔偿。</w:t>
      </w:r>
    </w:p>
    <w:p>
      <w:pPr>
        <w:pStyle w:val="10"/>
        <w:spacing w:line="360" w:lineRule="auto"/>
        <w:jc w:val="left"/>
        <w:rPr>
          <w:rFonts w:hint="default" w:ascii="宋体" w:hAnsi="宋体" w:cs="宋体"/>
          <w:kern w:val="2"/>
          <w:sz w:val="24"/>
          <w:szCs w:val="24"/>
          <w:lang w:val="en-US" w:eastAsia="zh-CN"/>
        </w:rPr>
      </w:pPr>
      <w:r>
        <w:rPr>
          <w:rFonts w:hint="eastAsia" w:ascii="宋体" w:hAnsi="宋体" w:cs="宋体"/>
          <w:kern w:val="2"/>
          <w:sz w:val="24"/>
          <w:szCs w:val="24"/>
          <w:lang w:val="en-US" w:eastAsia="zh-CN"/>
        </w:rPr>
        <w:t>6.10</w:t>
      </w:r>
      <w:r>
        <w:rPr>
          <w:rFonts w:hint="default" w:ascii="宋体" w:hAnsi="宋体" w:cs="宋体"/>
          <w:kern w:val="2"/>
          <w:sz w:val="24"/>
          <w:szCs w:val="24"/>
          <w:lang w:val="en-US" w:eastAsia="zh-CN"/>
        </w:rPr>
        <w:t>厂商驻场工程师人员变更必须得到医院书面同意，否则视为</w:t>
      </w:r>
      <w:r>
        <w:rPr>
          <w:rFonts w:hint="eastAsia" w:ascii="宋体" w:hAnsi="宋体" w:cs="宋体"/>
          <w:kern w:val="2"/>
          <w:sz w:val="24"/>
          <w:szCs w:val="24"/>
          <w:lang w:val="en-US" w:eastAsia="zh-CN"/>
        </w:rPr>
        <w:t>乙方</w:t>
      </w:r>
      <w:r>
        <w:rPr>
          <w:rFonts w:hint="default" w:ascii="宋体" w:hAnsi="宋体" w:cs="宋体"/>
          <w:kern w:val="2"/>
          <w:sz w:val="24"/>
          <w:szCs w:val="24"/>
          <w:lang w:val="en-US" w:eastAsia="zh-CN"/>
        </w:rPr>
        <w:t>违约，</w:t>
      </w:r>
      <w:r>
        <w:rPr>
          <w:rFonts w:hint="eastAsia" w:ascii="宋体" w:hAnsi="宋体" w:cs="宋体"/>
          <w:kern w:val="2"/>
          <w:sz w:val="24"/>
          <w:szCs w:val="24"/>
          <w:lang w:val="en-US" w:eastAsia="zh-CN"/>
        </w:rPr>
        <w:t>甲</w:t>
      </w:r>
      <w:r>
        <w:rPr>
          <w:rFonts w:hint="default" w:ascii="宋体" w:hAnsi="宋体" w:cs="宋体"/>
          <w:kern w:val="2"/>
          <w:sz w:val="24"/>
          <w:szCs w:val="24"/>
          <w:lang w:val="en-US" w:eastAsia="zh-CN"/>
        </w:rPr>
        <w:t>方有权按</w:t>
      </w:r>
      <w:r>
        <w:rPr>
          <w:rFonts w:hint="eastAsia" w:ascii="宋体" w:hAnsi="宋体" w:cs="宋体"/>
          <w:kern w:val="2"/>
          <w:sz w:val="24"/>
          <w:szCs w:val="24"/>
          <w:lang w:val="en-US" w:eastAsia="zh-CN"/>
        </w:rPr>
        <w:t>1</w:t>
      </w:r>
      <w:r>
        <w:rPr>
          <w:rFonts w:hint="default" w:ascii="宋体" w:hAnsi="宋体" w:cs="宋体"/>
          <w:kern w:val="2"/>
          <w:sz w:val="24"/>
          <w:szCs w:val="24"/>
          <w:lang w:val="en-US" w:eastAsia="zh-CN"/>
        </w:rPr>
        <w:t>0</w:t>
      </w:r>
      <w:r>
        <w:rPr>
          <w:rFonts w:hint="eastAsia" w:ascii="宋体" w:hAnsi="宋体" w:cs="宋体"/>
          <w:kern w:val="2"/>
          <w:sz w:val="24"/>
          <w:szCs w:val="24"/>
          <w:lang w:val="en-US" w:eastAsia="zh-CN"/>
        </w:rPr>
        <w:t>0</w:t>
      </w:r>
      <w:r>
        <w:rPr>
          <w:rFonts w:hint="default" w:ascii="宋体" w:hAnsi="宋体" w:cs="宋体"/>
          <w:kern w:val="2"/>
          <w:sz w:val="24"/>
          <w:szCs w:val="24"/>
          <w:lang w:val="en-US" w:eastAsia="zh-CN"/>
        </w:rPr>
        <w:t>0元/人/次从合同总款中扣除</w:t>
      </w:r>
      <w:r>
        <w:rPr>
          <w:rFonts w:hint="eastAsia" w:ascii="宋体" w:hAnsi="宋体" w:cs="宋体"/>
          <w:kern w:val="2"/>
          <w:sz w:val="24"/>
          <w:szCs w:val="24"/>
          <w:lang w:val="en-US" w:eastAsia="zh-CN"/>
        </w:rPr>
        <w:t>。</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bookmarkEnd w:id="6"/>
    <w:p>
      <w:pPr>
        <w:pStyle w:val="3"/>
        <w:rPr>
          <w:rFonts w:ascii="宋体" w:hAnsi="宋体" w:eastAsia="宋体" w:cs="宋体"/>
          <w:b/>
          <w:bCs/>
          <w:color w:val="auto"/>
          <w:sz w:val="28"/>
          <w:lang w:val="en-US"/>
        </w:rPr>
      </w:pPr>
      <w:bookmarkStart w:id="7" w:name="_Toc507405799"/>
      <w:bookmarkStart w:id="8" w:name="_Toc507405800"/>
      <w:r>
        <w:rPr>
          <w:rFonts w:hint="eastAsia" w:ascii="宋体" w:hAnsi="宋体" w:eastAsia="宋体" w:cs="宋体"/>
          <w:b/>
          <w:bCs/>
          <w:color w:val="auto"/>
          <w:sz w:val="28"/>
          <w:lang w:val="en-US"/>
        </w:rPr>
        <w:t>七、保密、廉洁协议</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7.2 双方不得以任何方式向第三方泄露本项目的软件技术、设计方案以及功能配置等内容。</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7.3 不以任何方式向第三方泄露在本协议开发实施过程中获取的经济、技术、数据以及双方其他非公开的信息。</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7.5保密期限自本合同生效之日起永久有效，如乙方需解除保密协议需向甲方提出书面申请，双方协商同意签字确认后方可解除。</w:t>
      </w:r>
    </w:p>
    <w:p>
      <w:pPr>
        <w:pStyle w:val="3"/>
        <w:rPr>
          <w:color w:val="auto"/>
          <w:lang w:val="en-US"/>
        </w:rPr>
      </w:pPr>
    </w:p>
    <w:p>
      <w:pPr>
        <w:pStyle w:val="3"/>
        <w:rPr>
          <w:rFonts w:hint="eastAsia" w:ascii="宋体" w:hAnsi="宋体" w:eastAsia="宋体" w:cs="宋体"/>
          <w:b/>
          <w:bCs/>
          <w:color w:val="auto"/>
          <w:sz w:val="28"/>
          <w:lang w:val="en-US" w:eastAsia="zh-CN"/>
        </w:rPr>
      </w:pPr>
      <w:r>
        <w:rPr>
          <w:rFonts w:hint="eastAsia" w:ascii="宋体" w:hAnsi="宋体" w:eastAsia="宋体" w:cs="宋体"/>
          <w:b/>
          <w:bCs/>
          <w:color w:val="auto"/>
          <w:sz w:val="28"/>
          <w:lang w:val="en-US" w:eastAsia="zh-CN"/>
        </w:rPr>
        <w:t>八、报价</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竞标文件按系统模块报价，按项目建设内容及要求提供正负偏离表，报价表价格包含系统软件费用、产品安装、调试实施、培训费用、产品升级费用，以及明示所有责任、义务和一切风险。</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竞标文件需提供维保期后续保报价。</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竞标文件需提供系统详细图文介绍。系统实施验收参照本技术文档及竞标文件提供的图文介绍为依据。</w:t>
      </w:r>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如项目功能二次开发内容涉及我院采购的第三方产品，则我院协调第三方产品开发商提供相关二次开发需要的接口和其他信息。请在标书内标明哪些功能的实现需要我院提供二次开发接口。</w:t>
      </w:r>
    </w:p>
    <w:p>
      <w:pPr>
        <w:pStyle w:val="2"/>
        <w:numPr>
          <w:ilvl w:val="0"/>
          <w:numId w:val="0"/>
        </w:numPr>
        <w:spacing w:before="312" w:beforeLines="100" w:line="360" w:lineRule="auto"/>
        <w:rPr>
          <w:rFonts w:ascii="宋体" w:hAnsi="宋体"/>
          <w:bCs w:val="0"/>
          <w:sz w:val="32"/>
          <w:szCs w:val="32"/>
        </w:rPr>
      </w:pPr>
      <w:r>
        <w:rPr>
          <w:rFonts w:hint="eastAsia" w:ascii="宋体" w:hAnsi="宋体"/>
          <w:bCs w:val="0"/>
          <w:sz w:val="32"/>
          <w:szCs w:val="32"/>
        </w:rPr>
        <w:t>九、付款方式</w:t>
      </w:r>
      <w:bookmarkEnd w:id="7"/>
    </w:p>
    <w:p>
      <w:pPr>
        <w:pStyle w:val="10"/>
        <w:spacing w:line="360" w:lineRule="auto"/>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项目双方签订合同，乙方进场实施项目，项目上线1个月后（以双方签订的上线报告时间计算），用户支付合同款项的30%；按合同实施完毕，上线稳定运行3个月后，启动验收，验收合格后付合同款项的60%，自验收合格之日起，1年后付10%。</w:t>
      </w:r>
    </w:p>
    <w:bookmarkEnd w:id="8"/>
    <w:p>
      <w:pPr>
        <w:pStyle w:val="3"/>
      </w:pPr>
    </w:p>
    <w:p>
      <w:pPr>
        <w:pStyle w:val="3"/>
        <w:rPr>
          <w:sz w:val="24"/>
          <w:lang w:val="en-US"/>
        </w:rPr>
      </w:pPr>
    </w:p>
    <w:sectPr>
      <w:footerReference r:id="rId3" w:type="default"/>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九</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CHINESENUM3 \* MERGEFORMAT </w:instrText>
                    </w:r>
                    <w:r>
                      <w:rPr>
                        <w:rFonts w:hint="eastAsia"/>
                        <w:lang w:eastAsia="zh-CN"/>
                      </w:rPr>
                      <w:fldChar w:fldCharType="separate"/>
                    </w:r>
                    <w:r>
                      <w:rPr>
                        <w:rFonts w:hint="eastAsia"/>
                        <w:lang w:eastAsia="zh-CN"/>
                      </w:rPr>
                      <w:t>九</w:t>
                    </w:r>
                    <w:r>
                      <w:rPr>
                        <w:rFonts w:hint="eastAsia"/>
                        <w:lang w:eastAsia="zh-CN"/>
                      </w:rPr>
                      <w:fldChar w:fldCharType="end"/>
                    </w:r>
                    <w:r>
                      <w:rPr>
                        <w:rFonts w:hint="eastAsia"/>
                        <w:lang w:eastAsia="zh-CN"/>
                      </w:rP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pStyle w:val="2"/>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
    <w:nsid w:val="00000001"/>
    <w:multiLevelType w:val="multilevel"/>
    <w:tmpl w:val="000000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7F7C"/>
    <w:rsid w:val="0818127D"/>
    <w:rsid w:val="13836701"/>
    <w:rsid w:val="22800FB8"/>
    <w:rsid w:val="27F72F55"/>
    <w:rsid w:val="308F1FF6"/>
    <w:rsid w:val="47C74849"/>
    <w:rsid w:val="489865F2"/>
    <w:rsid w:val="672A7B73"/>
    <w:rsid w:val="78E0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Times New Roman" w:hAnsi="Times New Roman"/>
      <w:kern w:val="0"/>
      <w:sz w:val="20"/>
      <w:szCs w:val="24"/>
      <w:lang w:val="zh-C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p15"/>
    <w:basedOn w:val="1"/>
    <w:qFormat/>
    <w:uiPriority w:val="0"/>
    <w:pPr>
      <w:widowControl/>
      <w:ind w:firstLine="420"/>
    </w:pPr>
    <w:rPr>
      <w:kern w:val="0"/>
      <w:szCs w:val="21"/>
    </w:rPr>
  </w:style>
  <w:style w:type="character" w:customStyle="1" w:styleId="11">
    <w:name w:val="页眉 字符"/>
    <w:basedOn w:val="8"/>
    <w:link w:val="5"/>
    <w:qFormat/>
    <w:uiPriority w:val="0"/>
    <w:rPr>
      <w:rFonts w:ascii="Calibri" w:hAnsi="Calibri" w:eastAsia="宋体" w:cs="宋体"/>
      <w:kern w:val="2"/>
      <w:sz w:val="18"/>
      <w:szCs w:val="18"/>
    </w:rPr>
  </w:style>
  <w:style w:type="character" w:customStyle="1" w:styleId="12">
    <w:name w:val="页脚 字符"/>
    <w:basedOn w:val="8"/>
    <w:link w:val="4"/>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5848</Words>
  <Characters>6294</Characters>
  <Paragraphs>148</Paragraphs>
  <TotalTime>0</TotalTime>
  <ScaleCrop>false</ScaleCrop>
  <LinksUpToDate>false</LinksUpToDate>
  <CharactersWithSpaces>6306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LGYY-USER</cp:lastModifiedBy>
  <dcterms:modified xsi:type="dcterms:W3CDTF">2022-04-12T12:21:45Z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B233F3A798C74DEF918B7B4CFC1AEA7A</vt:lpwstr>
  </property>
</Properties>
</file>