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柳州市工人医院移动护理PDA采购需求</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一、</w:t>
      </w:r>
      <w:r>
        <w:rPr>
          <w:rFonts w:hint="eastAsia" w:ascii="宋体" w:hAnsi="宋体" w:eastAsia="宋体" w:cs="宋体"/>
          <w:b/>
          <w:bCs/>
          <w:sz w:val="30"/>
          <w:szCs w:val="30"/>
        </w:rPr>
        <w:t>项目</w:t>
      </w:r>
      <w:r>
        <w:rPr>
          <w:rFonts w:hint="eastAsia" w:ascii="宋体" w:hAnsi="宋体" w:eastAsia="宋体" w:cs="宋体"/>
          <w:b/>
          <w:bCs/>
          <w:sz w:val="30"/>
          <w:szCs w:val="30"/>
          <w:lang w:eastAsia="zh-CN"/>
        </w:rPr>
        <w:t>名称</w:t>
      </w:r>
    </w:p>
    <w:p>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eastAsia" w:ascii="宋体" w:hAnsi="宋体" w:eastAsia="宋体" w:cs="宋体"/>
          <w:sz w:val="30"/>
          <w:szCs w:val="30"/>
        </w:rPr>
      </w:pPr>
      <w:r>
        <w:rPr>
          <w:rFonts w:hint="eastAsia" w:ascii="宋体" w:hAnsi="宋体" w:eastAsia="宋体" w:cs="宋体"/>
          <w:b w:val="0"/>
          <w:bCs w:val="0"/>
          <w:sz w:val="30"/>
          <w:szCs w:val="30"/>
          <w:lang w:val="en-US" w:eastAsia="zh-CN"/>
        </w:rPr>
        <w:t>柳州市工人医院移动护理PDA采购</w:t>
      </w:r>
      <w:r>
        <w:rPr>
          <w:rFonts w:hint="eastAsia" w:ascii="宋体" w:hAnsi="宋体" w:eastAsia="宋体" w:cs="宋体"/>
          <w:sz w:val="30"/>
          <w:szCs w:val="30"/>
        </w:rPr>
        <w:t>。</w:t>
      </w:r>
    </w:p>
    <w:p>
      <w:pPr>
        <w:pStyle w:val="2"/>
        <w:ind w:firstLine="60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二、项目概况</w:t>
      </w:r>
    </w:p>
    <w:p>
      <w:pPr>
        <w:keepNext w:val="0"/>
        <w:keepLines w:val="0"/>
        <w:pageBreakBefore w:val="0"/>
        <w:widowControl w:val="0"/>
        <w:kinsoku/>
        <w:wordWrap/>
        <w:overflowPunct/>
        <w:topLinePunct w:val="0"/>
        <w:autoSpaceDE/>
        <w:autoSpaceDN/>
        <w:bidi w:val="0"/>
        <w:adjustRightInd/>
        <w:snapToGrid/>
        <w:spacing w:line="500" w:lineRule="exact"/>
        <w:ind w:firstLine="601"/>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移动护理PDA现已在全院范围常态化应用，床边数据采集是六级电子病历建设中闭环管理不可或缺的环节，目前临床科室因业务量增加、设备故障无法维修、扩大院区后新增科室等情况，需增加移动护理PDA的采购，且鉴于PDA使用已进入第三年，即将过维保期，预计设备维修、损坏状况增多，各临床科室将陆续有采购需求，故将移动护理PDA列入医院年度常规招标范围，现需采购2022年度移动护理PDA</w:t>
      </w:r>
      <w:r>
        <w:rPr>
          <w:rFonts w:hint="eastAsia" w:ascii="宋体" w:hAnsi="宋体" w:cs="宋体"/>
          <w:sz w:val="30"/>
          <w:szCs w:val="30"/>
          <w:lang w:val="en-US" w:eastAsia="zh-CN"/>
        </w:rPr>
        <w:t>供应商</w:t>
      </w:r>
      <w:r>
        <w:rPr>
          <w:rFonts w:hint="eastAsia" w:ascii="宋体" w:hAnsi="宋体" w:eastAsia="宋体" w:cs="宋体"/>
          <w:sz w:val="30"/>
          <w:szCs w:val="30"/>
          <w:lang w:val="en-US" w:eastAsia="zh-CN"/>
        </w:rPr>
        <w:t>。</w:t>
      </w:r>
    </w:p>
    <w:p>
      <w:pPr>
        <w:pStyle w:val="2"/>
        <w:ind w:firstLine="60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三、投标人</w:t>
      </w:r>
      <w:r>
        <w:rPr>
          <w:rFonts w:hint="eastAsia" w:ascii="宋体" w:hAnsi="宋体" w:eastAsia="宋体" w:cs="宋体"/>
          <w:b/>
          <w:bCs/>
          <w:sz w:val="30"/>
          <w:szCs w:val="30"/>
          <w:lang w:val="en-US" w:eastAsia="zh-CN"/>
        </w:rPr>
        <w:t>/供应商资格条件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投标人需为国内注册（指按国家有关规定要求注册的），具备法人资格，参与单位需具电气设备销售、电力工程施工等相关资质；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参与单位三年内在经营活动中没有重大违法记录和不良信用记录；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参与单位有效的“营业执照”副本复印件；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 xml:space="preserve">由国家质量技术监督局颁发的中华人民共和国组织机构代码证复印件（三证合一除外）和法定代表人身份证明复印件；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参与单位有效的“税务登记证”副本复印件（国税或地税，三证合一除外）；</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标书中应注明该单位相关业绩；</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30"/>
          <w:szCs w:val="30"/>
        </w:rPr>
      </w:pPr>
      <w:r>
        <w:rPr>
          <w:rFonts w:hint="eastAsia" w:ascii="宋体" w:hAnsi="宋体" w:eastAsia="宋体" w:cs="宋体"/>
          <w:b/>
          <w:bCs/>
          <w:sz w:val="30"/>
          <w:szCs w:val="30"/>
          <w:lang w:val="en-US" w:eastAsia="zh-CN"/>
        </w:rPr>
        <w:t>四、项目内容</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textAlignment w:val="auto"/>
        <w:rPr>
          <w:rFonts w:hint="eastAsia" w:ascii="宋体" w:hAnsi="宋体" w:eastAsia="宋体" w:cs="宋体"/>
          <w:b/>
          <w:sz w:val="30"/>
          <w:szCs w:val="30"/>
        </w:rPr>
      </w:pPr>
      <w:r>
        <w:rPr>
          <w:rFonts w:hint="eastAsia" w:ascii="宋体" w:hAnsi="宋体" w:eastAsia="宋体" w:cs="宋体"/>
          <w:b/>
          <w:sz w:val="30"/>
          <w:szCs w:val="30"/>
        </w:rPr>
        <w:t>主要参数：</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处理器</w:t>
      </w:r>
      <w:r>
        <w:rPr>
          <w:rFonts w:hint="eastAsia" w:ascii="宋体" w:hAnsi="宋体" w:eastAsia="宋体" w:cs="宋体"/>
          <w:sz w:val="30"/>
          <w:szCs w:val="30"/>
          <w:lang w:eastAsia="zh-CN"/>
        </w:rPr>
        <w:t>：</w:t>
      </w:r>
      <w:r>
        <w:rPr>
          <w:rFonts w:hint="eastAsia" w:ascii="宋体" w:hAnsi="宋体" w:eastAsia="宋体" w:cs="宋体"/>
          <w:sz w:val="30"/>
          <w:szCs w:val="30"/>
        </w:rPr>
        <w:t>2.0GHz八核处理器及以上；</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RAM：3GB及以上；</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ROM：32G及以上；</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电源及充电接口：锂离子电池4000毫安及以上；type-c接口，支持qc3.0快充；</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网络连接：支持双频2.4GHz&amp;5 GHz WiFi5以上，支持IEEE802.11a/b/g/n/ac 以上无线网络协议；蓝牙4.0以上；</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操作系统：Android 7.0及以上；</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条码识别：具备专业扫码器，支持一维&amp;二维条码识别、支持NFC、RFID射频辨识；</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运营商网络：全网通（移动、电信、联通）4G支持；</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配备有供设备管理软件，对设备统一管理、远程设置，软件费用包含在设备报价内。</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25" w:firstLineChars="0"/>
        <w:textAlignment w:val="auto"/>
        <w:rPr>
          <w:rFonts w:hint="eastAsia" w:ascii="宋体" w:hAnsi="宋体" w:eastAsia="宋体" w:cs="宋体"/>
          <w:b/>
          <w:sz w:val="30"/>
          <w:szCs w:val="30"/>
        </w:rPr>
      </w:pPr>
      <w:r>
        <w:rPr>
          <w:rFonts w:hint="eastAsia" w:ascii="宋体" w:hAnsi="宋体" w:eastAsia="宋体" w:cs="宋体"/>
          <w:b/>
          <w:sz w:val="30"/>
          <w:szCs w:val="30"/>
        </w:rPr>
        <w:t>其他参数：</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b/>
          <w:sz w:val="30"/>
          <w:szCs w:val="30"/>
        </w:rPr>
      </w:pPr>
      <w:r>
        <w:rPr>
          <w:rFonts w:hint="eastAsia" w:ascii="宋体" w:hAnsi="宋体" w:eastAsia="宋体" w:cs="宋体"/>
          <w:b/>
          <w:sz w:val="30"/>
          <w:szCs w:val="30"/>
        </w:rPr>
        <w:t>硬件要求</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待机：48小时以上；</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工作时长：12小时以上不间断使用；</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重量：200-250g或更轻；</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显示屏： 5英寸以上IPS电容触控屏，支持多点触控；</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显示屏分辨率：1280*720 及以上；</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消毒：外壳支持酒精消毒、巴氏消毒、紫外线消毒；</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防摔防水防尘：IP67级三防机身，1.5米及以上摔落无损伤，30分钟1米防水，尘埃无法进入；</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工作温度：-20℃～+60℃；</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工作湿度：20%rh～90%rh（无凝露）；</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存储温度：-20℃～+65℃；</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ESD（静电放电）:±8KV，±15KV；</w:t>
      </w:r>
    </w:p>
    <w:p>
      <w:pPr>
        <w:keepNext w:val="0"/>
        <w:keepLines w:val="0"/>
        <w:pageBreakBefore w:val="0"/>
        <w:widowControl w:val="0"/>
        <w:numPr>
          <w:ilvl w:val="2"/>
          <w:numId w:val="3"/>
        </w:numPr>
        <w:tabs>
          <w:tab w:val="left" w:pos="425"/>
        </w:tabs>
        <w:kinsoku/>
        <w:wordWrap/>
        <w:overflowPunct/>
        <w:topLinePunct w:val="0"/>
        <w:autoSpaceDE/>
        <w:autoSpaceDN/>
        <w:bidi w:val="0"/>
        <w:adjustRightInd/>
        <w:snapToGrid/>
        <w:spacing w:line="500" w:lineRule="exact"/>
        <w:textAlignment w:val="auto"/>
        <w:rPr>
          <w:rFonts w:hint="eastAsia" w:ascii="宋体" w:hAnsi="宋体" w:eastAsia="宋体" w:cs="宋体"/>
          <w:sz w:val="30"/>
          <w:szCs w:val="30"/>
        </w:rPr>
      </w:pPr>
      <w:r>
        <w:rPr>
          <w:rFonts w:hint="eastAsia" w:ascii="宋体" w:hAnsi="宋体" w:eastAsia="宋体" w:cs="宋体"/>
          <w:sz w:val="30"/>
          <w:szCs w:val="30"/>
        </w:rPr>
        <w:t>资质认证：CCC。</w:t>
      </w:r>
    </w:p>
    <w:p>
      <w:pPr>
        <w:pStyle w:val="11"/>
        <w:keepNext w:val="0"/>
        <w:keepLines w:val="0"/>
        <w:pageBreakBefore w:val="0"/>
        <w:widowControl w:val="0"/>
        <w:numPr>
          <w:ilvl w:val="1"/>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b/>
          <w:bCs/>
          <w:sz w:val="30"/>
          <w:szCs w:val="30"/>
        </w:rPr>
      </w:pPr>
      <w:r>
        <w:rPr>
          <w:rFonts w:hint="eastAsia" w:ascii="宋体" w:hAnsi="宋体" w:eastAsia="宋体" w:cs="宋体"/>
          <w:b/>
          <w:bCs/>
          <w:sz w:val="30"/>
          <w:szCs w:val="30"/>
        </w:rPr>
        <w:t>配件</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每台设备配有充电适配器、数据线、座充、支持快充；</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每台设备配置有防摔手绳/手带；</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每台设备配有屏幕贴膜及硅胶保护套。</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textAlignment w:val="auto"/>
        <w:rPr>
          <w:rFonts w:hint="eastAsia" w:ascii="宋体" w:hAnsi="宋体" w:eastAsia="宋体" w:cs="宋体"/>
          <w:b/>
          <w:sz w:val="30"/>
          <w:szCs w:val="30"/>
        </w:rPr>
      </w:pPr>
      <w:r>
        <w:rPr>
          <w:rFonts w:hint="eastAsia" w:ascii="宋体" w:hAnsi="宋体" w:eastAsia="宋体" w:cs="宋体"/>
          <w:b/>
          <w:sz w:val="30"/>
          <w:szCs w:val="30"/>
        </w:rPr>
        <w:t>软件运行方面</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要求扫描二维码、条形码反应迅速、稳定，识别正确。在扫码范围内支持最大限度的多角度、倾斜扫描，降低用户持PDA时手腕的疲劳、减少人工准确对准扫码所花费的时间；</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扫描头所发光线应柔和，亮度不刺眼；</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手持操作符合人体工程学，手握、操作方便，能单手操作，扫码按键位置设计科学便于用户使用过程中随时扫码，不需再移动手持位置完成扫描；</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网络接入良好，不能有大的延迟，刷新速度快。PDA运行顺畅，页面加载速度迅速，降低或消除用户停顿临床操作等候设备反应时间，在网络不中断情况下无卡顿、持续加载不成功情况；</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设备轻便，有防滑脱设计；</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软件使用过程出现闪退等情况时，厂家技术工程师需配合软件厂家进行系统软件适配、优化；系统软件改造过程中若存在需设备厂家配合解决的问题也需要及时需要厂家配合完成；</w:t>
      </w:r>
    </w:p>
    <w:p>
      <w:pPr>
        <w:pStyle w:val="11"/>
        <w:keepNext w:val="0"/>
        <w:keepLines w:val="0"/>
        <w:pageBreakBefore w:val="0"/>
        <w:widowControl w:val="0"/>
        <w:numPr>
          <w:ilvl w:val="2"/>
          <w:numId w:val="3"/>
        </w:numPr>
        <w:kinsoku/>
        <w:wordWrap/>
        <w:overflowPunct/>
        <w:topLinePunct w:val="0"/>
        <w:autoSpaceDE/>
        <w:autoSpaceDN/>
        <w:bidi w:val="0"/>
        <w:adjustRightInd/>
        <w:snapToGrid/>
        <w:spacing w:line="500" w:lineRule="exact"/>
        <w:ind w:firstLineChars="0"/>
        <w:textAlignment w:val="auto"/>
        <w:rPr>
          <w:rFonts w:hint="eastAsia" w:ascii="宋体" w:hAnsi="宋体" w:eastAsia="宋体" w:cs="宋体"/>
          <w:sz w:val="30"/>
          <w:szCs w:val="30"/>
        </w:rPr>
      </w:pPr>
      <w:r>
        <w:rPr>
          <w:rFonts w:hint="eastAsia" w:ascii="宋体" w:hAnsi="宋体" w:eastAsia="宋体" w:cs="宋体"/>
          <w:sz w:val="30"/>
          <w:szCs w:val="30"/>
        </w:rPr>
        <w:t>免费提供设备功能调用接口方式的文档和技术支持。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0"/>
          <w:szCs w:val="30"/>
        </w:rPr>
      </w:pPr>
    </w:p>
    <w:p>
      <w:pPr>
        <w:rPr>
          <w:rFonts w:hint="default"/>
          <w:lang w:val="en-US" w:eastAsia="zh-CN"/>
        </w:rPr>
      </w:pPr>
      <w:r>
        <w:rPr>
          <w:rFonts w:hint="eastAsia" w:hAnsi="宋体" w:cs="宋体"/>
          <w:b/>
          <w:bCs/>
          <w:sz w:val="28"/>
          <w:szCs w:val="28"/>
          <w:lang w:val="en-US" w:eastAsia="zh-CN"/>
        </w:rPr>
        <w:t>五、供应商遴选方式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对供应商服务及时性及价格等进行综合评价，遴选2家供应商。</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Ansi="宋体" w:eastAsia="宋体" w:cs="宋体"/>
          <w:sz w:val="28"/>
          <w:szCs w:val="28"/>
          <w:lang w:val="en-US" w:eastAsia="zh-CN"/>
        </w:rPr>
      </w:pPr>
      <w:r>
        <w:rPr>
          <w:rFonts w:hint="eastAsia" w:hAnsi="宋体" w:eastAsia="宋体" w:cs="宋体"/>
          <w:b/>
          <w:bCs/>
          <w:sz w:val="28"/>
          <w:szCs w:val="28"/>
          <w:lang w:val="en-US" w:eastAsia="zh-CN"/>
        </w:rPr>
        <w:t>六、报价方式</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cs="宋体"/>
          <w:b w:val="0"/>
          <w:bCs w:val="0"/>
          <w:sz w:val="30"/>
          <w:szCs w:val="30"/>
          <w:lang w:val="en-US" w:eastAsia="zh-CN"/>
        </w:rPr>
        <w:t>本项目采购的</w:t>
      </w:r>
      <w:r>
        <w:rPr>
          <w:rFonts w:hint="eastAsia" w:ascii="宋体" w:hAnsi="宋体" w:eastAsia="宋体" w:cs="宋体"/>
          <w:b w:val="0"/>
          <w:bCs w:val="0"/>
          <w:sz w:val="30"/>
          <w:szCs w:val="30"/>
          <w:lang w:val="en-US" w:eastAsia="zh-CN"/>
        </w:rPr>
        <w:t>移动护理PDA</w:t>
      </w:r>
      <w:r>
        <w:rPr>
          <w:rFonts w:hint="eastAsia" w:ascii="宋体" w:hAnsi="宋体" w:cs="宋体"/>
          <w:b w:val="0"/>
          <w:bCs w:val="0"/>
          <w:sz w:val="30"/>
          <w:szCs w:val="30"/>
          <w:lang w:val="en-US" w:eastAsia="zh-CN"/>
        </w:rPr>
        <w:t>，</w:t>
      </w:r>
      <w:r>
        <w:rPr>
          <w:rFonts w:hint="eastAsia" w:ascii="宋体" w:hAnsi="宋体" w:cs="宋体"/>
          <w:sz w:val="30"/>
          <w:szCs w:val="30"/>
          <w:lang w:val="en-US" w:eastAsia="zh-CN"/>
        </w:rPr>
        <w:t>按单价进行报价；</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本项目不接受联合体投标</w:t>
      </w:r>
      <w:r>
        <w:rPr>
          <w:rFonts w:hint="eastAsia" w:ascii="宋体" w:hAnsi="宋体" w:eastAsia="宋体" w:cs="宋体"/>
          <w:sz w:val="30"/>
          <w:szCs w:val="30"/>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必须提供针对本项目的原厂授权书及售后服务承诺书原件，否则不予认可；</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请提供参数偏离表，正、负偏离项均需列明详细的偏离技术参数。</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除非合同另有规定，询价响应文件报价表中有标价的单价和总额价均已包括了实施和完成本项目所需的劳务、材料及其安装损耗、机械、质检（自检）、运输、安装、调试、试运行、缺陷修复、管理、保险、税费、利润等费用，以及合同明示所有责任、义务和一切风险。</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投标人报价明显低于成本时，应当在响应文件中主动提交相关说明及证据。包含材料、工艺、流水线、质检、运输等环节的详细技术说明及价格分项说明，并附相关真实有效的书面支持资料，以说明过低的投标报价不影响质量、服务或者履约。</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方案评判标准以询价会上提供的响应文件为准，未在询价响应书中列明的技术、功能参数和售后服务标准，不接受后期补充。</w:t>
      </w:r>
    </w:p>
    <w:p>
      <w:pPr>
        <w:pStyle w:val="2"/>
        <w:rPr>
          <w:rFonts w:hint="eastAsia" w:ascii="宋体" w:hAnsi="宋体" w:eastAsia="宋体" w:cs="宋体"/>
          <w:sz w:val="30"/>
          <w:szCs w:val="30"/>
        </w:rPr>
      </w:pPr>
    </w:p>
    <w:p>
      <w:pPr>
        <w:rPr>
          <w:rFonts w:hint="eastAsia"/>
        </w:rPr>
      </w:pPr>
      <w:r>
        <w:rPr>
          <w:rFonts w:hint="eastAsia" w:hAnsi="宋体" w:cs="宋体"/>
          <w:b/>
          <w:bCs/>
          <w:sz w:val="28"/>
          <w:szCs w:val="28"/>
          <w:lang w:val="en-US" w:eastAsia="zh-CN"/>
        </w:rPr>
        <w:t>七、</w:t>
      </w:r>
      <w:r>
        <w:rPr>
          <w:rFonts w:hint="eastAsia" w:hAnsi="宋体" w:eastAsia="宋体" w:cs="宋体"/>
          <w:b/>
          <w:bCs/>
          <w:sz w:val="28"/>
          <w:szCs w:val="28"/>
          <w:lang w:val="en-US" w:eastAsia="zh-CN"/>
        </w:rPr>
        <w:t>合同工期</w:t>
      </w:r>
      <w:r>
        <w:rPr>
          <w:rFonts w:hint="eastAsia" w:hAnsi="宋体" w:cs="宋体"/>
          <w:b/>
          <w:bCs/>
          <w:sz w:val="28"/>
          <w:szCs w:val="28"/>
          <w:lang w:val="en-US" w:eastAsia="zh-CN"/>
        </w:rPr>
        <w:t>及结算方式</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合同期限为：1年；</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结算方式：该项目年采购数量约为60台，最终按实际采购量结算，每季度结算一次。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sz w:val="30"/>
          <w:szCs w:val="30"/>
        </w:rPr>
      </w:pPr>
      <w:r>
        <w:rPr>
          <w:rFonts w:hint="eastAsia" w:ascii="宋体" w:hAnsi="宋体" w:cs="宋体"/>
          <w:b/>
          <w:sz w:val="30"/>
          <w:szCs w:val="30"/>
          <w:lang w:val="en-US" w:eastAsia="zh-CN"/>
        </w:rPr>
        <w:t>八、</w:t>
      </w:r>
      <w:r>
        <w:rPr>
          <w:rFonts w:hint="eastAsia" w:ascii="宋体" w:hAnsi="宋体" w:eastAsia="宋体" w:cs="宋体"/>
          <w:b/>
          <w:sz w:val="30"/>
          <w:szCs w:val="30"/>
        </w:rPr>
        <w:t>售后服务要求</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在合同期内根据甲方使用需求，乙方需在两周内完成供货及安装及培训等服务；</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设备出现故障需及时维修，1小时内响应，4小时内到达现场，24小时内不能修复，提供相同档次以上型号的产品顶用；</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要求免费质保时间3年；维保期内如电池有鼓包、无法充电等或屏幕花屏、显示不清、无法触控等异常情况，须提供免费更换相关配件服务；</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设备若出现与网络相关问题，例如无法兼容4G无线网络、网速或信号达不到要求等影响使用的情况，设备厂家需与4G网络提供商配合排查问题原因并在3天内给出解决方案；</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在设备使用过程中对机器进行性能优化和稳定性方面的调试，以确定机器的质量能达到医院的需求，在调试时厂家技术人员必须耐心的向医院运维人员解释和指导，确保医院运维人员能基本理解机器正常运行的操作知识及对机器稳定运行的基本调试。硬件安装调试完毕后，提供一份详细的SOP操作手册；</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产品到货后配合院内人员进行设备调试、软件安装，对使用人员、维护人员进行培训。</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原厂技术人员每季度至少巡检设备运行情况一次，并根据使用情况做好售后服务管理档案，向我院提交书面巡检报告，相应问题详细记录及分析，并给予技术支持。</w:t>
      </w:r>
    </w:p>
    <w:p>
      <w:pPr>
        <w:pStyle w:val="2"/>
        <w:rPr>
          <w:rFonts w:hint="eastAsia"/>
        </w:rPr>
      </w:pPr>
    </w:p>
    <w:p>
      <w:pPr>
        <w:pStyle w:val="2"/>
        <w:rPr>
          <w:rFonts w:hint="eastAsia"/>
        </w:rPr>
      </w:pPr>
    </w:p>
    <w:p>
      <w:pPr>
        <w:pStyle w:val="2"/>
        <w:rPr>
          <w:rFonts w:hint="eastAsia"/>
          <w:lang w:val="en-US"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RcEAPLAQAAmQ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915EC"/>
    <w:multiLevelType w:val="singleLevel"/>
    <w:tmpl w:val="B6D915EC"/>
    <w:lvl w:ilvl="0" w:tentative="0">
      <w:start w:val="1"/>
      <w:numFmt w:val="decimal"/>
      <w:suff w:val="nothing"/>
      <w:lvlText w:val="%1．"/>
      <w:lvlJc w:val="left"/>
      <w:pPr>
        <w:ind w:left="0" w:firstLine="400"/>
      </w:pPr>
      <w:rPr>
        <w:rFonts w:hint="default"/>
      </w:rPr>
    </w:lvl>
  </w:abstractNum>
  <w:abstractNum w:abstractNumId="1">
    <w:nsid w:val="C1A728E4"/>
    <w:multiLevelType w:val="singleLevel"/>
    <w:tmpl w:val="C1A728E4"/>
    <w:lvl w:ilvl="0" w:tentative="0">
      <w:start w:val="1"/>
      <w:numFmt w:val="decimal"/>
      <w:suff w:val="nothing"/>
      <w:lvlText w:val="%1．"/>
      <w:lvlJc w:val="left"/>
      <w:pPr>
        <w:ind w:left="0" w:firstLine="400"/>
      </w:pPr>
      <w:rPr>
        <w:rFonts w:hint="default"/>
      </w:rPr>
    </w:lvl>
  </w:abstractNum>
  <w:abstractNum w:abstractNumId="2">
    <w:nsid w:val="CEDD5090"/>
    <w:multiLevelType w:val="singleLevel"/>
    <w:tmpl w:val="CEDD5090"/>
    <w:lvl w:ilvl="0" w:tentative="0">
      <w:start w:val="1"/>
      <w:numFmt w:val="decimal"/>
      <w:suff w:val="nothing"/>
      <w:lvlText w:val="%1．"/>
      <w:lvlJc w:val="left"/>
      <w:pPr>
        <w:ind w:left="0" w:firstLine="400"/>
      </w:pPr>
      <w:rPr>
        <w:rFonts w:hint="default"/>
      </w:rPr>
    </w:lvl>
  </w:abstractNum>
  <w:abstractNum w:abstractNumId="3">
    <w:nsid w:val="0006FC60"/>
    <w:multiLevelType w:val="singleLevel"/>
    <w:tmpl w:val="0006FC60"/>
    <w:lvl w:ilvl="0" w:tentative="0">
      <w:start w:val="1"/>
      <w:numFmt w:val="decimal"/>
      <w:suff w:val="nothing"/>
      <w:lvlText w:val="%1．"/>
      <w:lvlJc w:val="left"/>
      <w:pPr>
        <w:ind w:left="0" w:firstLine="400"/>
      </w:pPr>
      <w:rPr>
        <w:rFonts w:hint="default"/>
      </w:rPr>
    </w:lvl>
  </w:abstractNum>
  <w:abstractNum w:abstractNumId="4">
    <w:nsid w:val="26CED30D"/>
    <w:multiLevelType w:val="singleLevel"/>
    <w:tmpl w:val="26CED30D"/>
    <w:lvl w:ilvl="0" w:tentative="0">
      <w:start w:val="1"/>
      <w:numFmt w:val="decimal"/>
      <w:suff w:val="nothing"/>
      <w:lvlText w:val="%1．"/>
      <w:lvlJc w:val="left"/>
      <w:pPr>
        <w:ind w:left="0" w:firstLine="400"/>
      </w:pPr>
      <w:rPr>
        <w:rFonts w:hint="default"/>
      </w:rPr>
    </w:lvl>
  </w:abstractNum>
  <w:abstractNum w:abstractNumId="5">
    <w:nsid w:val="44BCFEDF"/>
    <w:multiLevelType w:val="multilevel"/>
    <w:tmpl w:val="44BCFED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color w:val="auto"/>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D8"/>
    <w:rsid w:val="00022E88"/>
    <w:rsid w:val="000454B1"/>
    <w:rsid w:val="000A78B1"/>
    <w:rsid w:val="000C1F82"/>
    <w:rsid w:val="001079D7"/>
    <w:rsid w:val="00177985"/>
    <w:rsid w:val="001F7CC0"/>
    <w:rsid w:val="00212B9A"/>
    <w:rsid w:val="00237C85"/>
    <w:rsid w:val="00270E7B"/>
    <w:rsid w:val="002A1C9E"/>
    <w:rsid w:val="00306E4C"/>
    <w:rsid w:val="00307E48"/>
    <w:rsid w:val="00345533"/>
    <w:rsid w:val="003706D3"/>
    <w:rsid w:val="003A1756"/>
    <w:rsid w:val="003C782F"/>
    <w:rsid w:val="003D1FD4"/>
    <w:rsid w:val="003D4C46"/>
    <w:rsid w:val="004B1F94"/>
    <w:rsid w:val="00505C85"/>
    <w:rsid w:val="00542DA1"/>
    <w:rsid w:val="00590DC5"/>
    <w:rsid w:val="005A00FE"/>
    <w:rsid w:val="006501C6"/>
    <w:rsid w:val="00664D34"/>
    <w:rsid w:val="0067564F"/>
    <w:rsid w:val="0068002F"/>
    <w:rsid w:val="00693AF3"/>
    <w:rsid w:val="006A5262"/>
    <w:rsid w:val="006B2C4B"/>
    <w:rsid w:val="007958E4"/>
    <w:rsid w:val="007A3287"/>
    <w:rsid w:val="007C3865"/>
    <w:rsid w:val="008372C6"/>
    <w:rsid w:val="00893ED8"/>
    <w:rsid w:val="0093172D"/>
    <w:rsid w:val="009407BD"/>
    <w:rsid w:val="009A1EFD"/>
    <w:rsid w:val="009B185B"/>
    <w:rsid w:val="00A25B46"/>
    <w:rsid w:val="00A36A37"/>
    <w:rsid w:val="00A613AB"/>
    <w:rsid w:val="00A774A2"/>
    <w:rsid w:val="00A95268"/>
    <w:rsid w:val="00AA6D6E"/>
    <w:rsid w:val="00AC0311"/>
    <w:rsid w:val="00B07AA0"/>
    <w:rsid w:val="00B15ADE"/>
    <w:rsid w:val="00B23D46"/>
    <w:rsid w:val="00B27C2B"/>
    <w:rsid w:val="00B41892"/>
    <w:rsid w:val="00B97CF8"/>
    <w:rsid w:val="00BB313D"/>
    <w:rsid w:val="00BB6AA3"/>
    <w:rsid w:val="00BD083B"/>
    <w:rsid w:val="00C04EE3"/>
    <w:rsid w:val="00C0659E"/>
    <w:rsid w:val="00C070BB"/>
    <w:rsid w:val="00C1650B"/>
    <w:rsid w:val="00C37733"/>
    <w:rsid w:val="00C4171C"/>
    <w:rsid w:val="00CA3D2F"/>
    <w:rsid w:val="00CB6F60"/>
    <w:rsid w:val="00D04B6E"/>
    <w:rsid w:val="00D24BAC"/>
    <w:rsid w:val="00D75954"/>
    <w:rsid w:val="00D8069D"/>
    <w:rsid w:val="00D9774F"/>
    <w:rsid w:val="00DA6C29"/>
    <w:rsid w:val="00DB1779"/>
    <w:rsid w:val="00DE19B4"/>
    <w:rsid w:val="00E155FF"/>
    <w:rsid w:val="00EA22F2"/>
    <w:rsid w:val="00EC29B1"/>
    <w:rsid w:val="00EC3659"/>
    <w:rsid w:val="00EF1659"/>
    <w:rsid w:val="00F53460"/>
    <w:rsid w:val="00F85E9B"/>
    <w:rsid w:val="00FB5CCD"/>
    <w:rsid w:val="01480707"/>
    <w:rsid w:val="048149A6"/>
    <w:rsid w:val="07C96ABF"/>
    <w:rsid w:val="0C1D7BE0"/>
    <w:rsid w:val="0DAF62E9"/>
    <w:rsid w:val="10604D7B"/>
    <w:rsid w:val="12A12AD6"/>
    <w:rsid w:val="15114CEE"/>
    <w:rsid w:val="17165D51"/>
    <w:rsid w:val="17AE30C5"/>
    <w:rsid w:val="181F64D4"/>
    <w:rsid w:val="1D1523F6"/>
    <w:rsid w:val="1F09237E"/>
    <w:rsid w:val="27F04FA4"/>
    <w:rsid w:val="2C9B5786"/>
    <w:rsid w:val="2DBF0DFB"/>
    <w:rsid w:val="2EA41640"/>
    <w:rsid w:val="2FE002F1"/>
    <w:rsid w:val="30376AFD"/>
    <w:rsid w:val="315C0411"/>
    <w:rsid w:val="330646F8"/>
    <w:rsid w:val="333379FF"/>
    <w:rsid w:val="33343DD0"/>
    <w:rsid w:val="35C14945"/>
    <w:rsid w:val="3AB65C42"/>
    <w:rsid w:val="3D417A2E"/>
    <w:rsid w:val="499408C6"/>
    <w:rsid w:val="4B5864F3"/>
    <w:rsid w:val="4BFB2DEB"/>
    <w:rsid w:val="4CD75F7D"/>
    <w:rsid w:val="4D1D0132"/>
    <w:rsid w:val="4E064207"/>
    <w:rsid w:val="558625A3"/>
    <w:rsid w:val="58686505"/>
    <w:rsid w:val="59E67BB2"/>
    <w:rsid w:val="633731A8"/>
    <w:rsid w:val="662B43D7"/>
    <w:rsid w:val="67D57108"/>
    <w:rsid w:val="68307D56"/>
    <w:rsid w:val="6A6D4084"/>
    <w:rsid w:val="6CA56EAE"/>
    <w:rsid w:val="6E57653B"/>
    <w:rsid w:val="72A21FEC"/>
    <w:rsid w:val="73775958"/>
    <w:rsid w:val="7703770D"/>
    <w:rsid w:val="77093BD7"/>
    <w:rsid w:val="79D0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paragraph" w:customStyle="1" w:styleId="11">
    <w:name w:val="列出段落1"/>
    <w:basedOn w:val="1"/>
    <w:unhideWhenUsed/>
    <w:qFormat/>
    <w:uiPriority w:val="99"/>
    <w:pPr>
      <w:ind w:firstLine="420" w:firstLineChars="200"/>
    </w:pPr>
  </w:style>
  <w:style w:type="paragraph" w:customStyle="1" w:styleId="12">
    <w:name w:val="列出段落11"/>
    <w:basedOn w:val="1"/>
    <w:qFormat/>
    <w:uiPriority w:val="34"/>
    <w:pPr>
      <w:ind w:firstLine="420" w:firstLineChars="200"/>
    </w:pPr>
  </w:style>
  <w:style w:type="character" w:customStyle="1" w:styleId="13">
    <w:name w:val="页眉 字符"/>
    <w:basedOn w:val="9"/>
    <w:link w:val="6"/>
    <w:semiHidden/>
    <w:qFormat/>
    <w:uiPriority w:val="99"/>
    <w:rPr>
      <w:sz w:val="18"/>
      <w:szCs w:val="18"/>
    </w:rPr>
  </w:style>
  <w:style w:type="character" w:customStyle="1" w:styleId="14">
    <w:name w:val="页脚 字符"/>
    <w:basedOn w:val="9"/>
    <w:link w:val="5"/>
    <w:semiHidden/>
    <w:qFormat/>
    <w:uiPriority w:val="99"/>
    <w:rPr>
      <w:sz w:val="18"/>
      <w:szCs w:val="18"/>
    </w:rPr>
  </w:style>
  <w:style w:type="character" w:customStyle="1" w:styleId="15">
    <w:name w:val="批注框文本 字符"/>
    <w:basedOn w:val="9"/>
    <w:link w:val="4"/>
    <w:semiHidden/>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D8EA7-452A-4374-9971-A16E365A93EB}">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2220</Words>
  <Characters>2374</Characters>
  <Lines>12</Lines>
  <Paragraphs>3</Paragraphs>
  <TotalTime>2</TotalTime>
  <ScaleCrop>false</ScaleCrop>
  <LinksUpToDate>false</LinksUpToDate>
  <CharactersWithSpaces>2470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2022-01-18T07:53:00Z</dcterms:created>
  <dc:creator>HUfl</dc:creator>
  <cp:lastModifiedBy>睡莲</cp:lastModifiedBy>
  <cp:lastPrinted>2022-01-27T10:03:00Z</cp:lastPrinted>
  <dcterms:modified xsi:type="dcterms:W3CDTF">2022-04-08T23:52:42Z</dcterms:modified>
  <dc:title>柳州市工人医院移动护理PDA询价技术要求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F16683922677434E9EC9EF2FF6C58A3B</vt:lpwstr>
  </property>
</Properties>
</file>