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jc w:val="center"/>
        <w:rPr>
          <w:rFonts w:hint="eastAsia" w:ascii="宋体" w:hAnsi="宋体" w:eastAsia="宋体" w:cs="微软雅黑"/>
          <w:b/>
          <w:bCs/>
          <w:color w:val="auto"/>
          <w:kern w:val="44"/>
          <w:sz w:val="30"/>
          <w:szCs w:val="30"/>
          <w:lang w:eastAsia="zh-CN"/>
        </w:rPr>
      </w:pPr>
      <w:bookmarkStart w:id="0" w:name="_Toc344816509"/>
      <w:r>
        <w:rPr>
          <w:rFonts w:hint="eastAsia" w:ascii="宋体" w:hAnsi="宋体" w:eastAsia="宋体" w:cs="微软雅黑"/>
          <w:b/>
          <w:bCs/>
          <w:color w:val="auto"/>
          <w:kern w:val="44"/>
          <w:sz w:val="30"/>
          <w:szCs w:val="30"/>
        </w:rPr>
        <w:t>柳州市</w:t>
      </w:r>
      <w:r>
        <w:rPr>
          <w:rFonts w:ascii="宋体" w:hAnsi="宋体" w:eastAsia="宋体" w:cs="微软雅黑"/>
          <w:b/>
          <w:bCs/>
          <w:color w:val="auto"/>
          <w:kern w:val="44"/>
          <w:sz w:val="30"/>
          <w:szCs w:val="30"/>
        </w:rPr>
        <w:t>工人医院</w:t>
      </w:r>
      <w:r>
        <w:rPr>
          <w:rFonts w:hint="eastAsia" w:ascii="宋体" w:hAnsi="宋体" w:eastAsia="宋体" w:cs="微软雅黑"/>
          <w:b/>
          <w:bCs/>
          <w:color w:val="auto"/>
          <w:kern w:val="44"/>
          <w:sz w:val="30"/>
          <w:szCs w:val="30"/>
          <w:lang w:eastAsia="zh-CN"/>
        </w:rPr>
        <w:t>软件接口</w:t>
      </w:r>
      <w:bookmarkStart w:id="4" w:name="_GoBack"/>
      <w:bookmarkEnd w:id="4"/>
      <w:r>
        <w:rPr>
          <w:rFonts w:hint="eastAsia" w:ascii="宋体" w:hAnsi="宋体" w:eastAsia="宋体" w:cs="微软雅黑"/>
          <w:b/>
          <w:bCs/>
          <w:color w:val="auto"/>
          <w:kern w:val="44"/>
          <w:sz w:val="30"/>
          <w:szCs w:val="30"/>
          <w:lang w:eastAsia="zh-CN"/>
        </w:rPr>
        <w:t>技术参数</w:t>
      </w:r>
    </w:p>
    <w:p>
      <w:pPr>
        <w:keepNext/>
        <w:keepLines/>
        <w:numPr>
          <w:ilvl w:val="0"/>
          <w:numId w:val="0"/>
        </w:numPr>
        <w:ind w:leftChars="200"/>
        <w:jc w:val="left"/>
        <w:rPr>
          <w:rFonts w:hint="eastAsia" w:ascii="宋体" w:hAnsi="宋体" w:eastAsia="宋体" w:cs="微软雅黑"/>
          <w:b/>
          <w:bCs/>
          <w:color w:val="auto"/>
          <w:kern w:val="44"/>
          <w:sz w:val="24"/>
          <w:szCs w:val="24"/>
          <w:lang w:val="en-US" w:eastAsia="zh-CN"/>
        </w:rPr>
      </w:pPr>
    </w:p>
    <w:bookmarkEnd w:id="0"/>
    <w:p>
      <w:pPr>
        <w:pStyle w:val="8"/>
        <w:numPr>
          <w:ilvl w:val="0"/>
          <w:numId w:val="2"/>
        </w:numPr>
        <w:ind w:firstLineChars="0"/>
        <w:rPr>
          <w:rFonts w:hint="default" w:ascii="宋体" w:hAnsi="宋体" w:eastAsia="宋体"/>
          <w:b/>
          <w:color w:val="auto"/>
          <w:sz w:val="28"/>
          <w:szCs w:val="28"/>
          <w:lang w:val="en-US" w:eastAsia="zh-CN"/>
        </w:rPr>
      </w:pPr>
      <w:r>
        <w:rPr>
          <w:rFonts w:hint="eastAsia" w:ascii="宋体" w:hAnsi="宋体" w:eastAsia="宋体"/>
          <w:b/>
          <w:color w:val="auto"/>
          <w:sz w:val="28"/>
          <w:szCs w:val="28"/>
        </w:rPr>
        <w:t>项目背景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eastAsia="zh-CN"/>
        </w:rPr>
        <w:t>当前，我院心电诊断科所使用的</w:t>
      </w:r>
      <w:r>
        <w:rPr>
          <w:rFonts w:hint="eastAsia" w:ascii="宋体" w:hAnsi="宋体" w:eastAsia="宋体"/>
          <w:b w:val="0"/>
          <w:bCs/>
          <w:color w:val="auto"/>
          <w:sz w:val="24"/>
          <w:szCs w:val="24"/>
          <w:lang w:val="en-US" w:eastAsia="zh-CN"/>
        </w:rPr>
        <w:t>动态心电图、动态血压、心功能、经食管心脏电生理检查、直立倾斜试验等检查设备仍使用单机版软件做检查相关业务，导致临床科室未能通过HIS系统、电子病历系统查看患者检查结果，相应的检查结果仍需通过检查设备打印纸质报告单后单发放给临床或患者。</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olor w:val="auto"/>
          <w:sz w:val="24"/>
          <w:szCs w:val="24"/>
        </w:rPr>
      </w:pPr>
      <w:r>
        <w:rPr>
          <w:rFonts w:hint="eastAsia" w:ascii="宋体" w:hAnsi="宋体" w:eastAsia="宋体"/>
          <w:b w:val="0"/>
          <w:bCs/>
          <w:color w:val="auto"/>
          <w:sz w:val="24"/>
          <w:szCs w:val="24"/>
          <w:lang w:val="en-US" w:eastAsia="zh-CN"/>
        </w:rPr>
        <w:t>为进一步提高我院信息化建设水平，通过采购心电诊断科软件接口，能够规范心电诊断科工作流程、实现开单、检查信息数字化和网络化管理，使临床科室能够通过HIS系统、电子病历系统及时查看患者检查结果，缩短检查周期，同时，为医院六级电子病历系统建设夯实基础。</w:t>
      </w:r>
    </w:p>
    <w:p>
      <w:pPr>
        <w:pStyle w:val="8"/>
        <w:numPr>
          <w:ilvl w:val="0"/>
          <w:numId w:val="0"/>
        </w:numPr>
        <w:spacing w:line="480" w:lineRule="auto"/>
        <w:ind w:leftChars="0"/>
        <w:rPr>
          <w:rFonts w:hint="eastAsia" w:ascii="宋体" w:hAnsi="宋体" w:eastAsia="宋体"/>
          <w:color w:val="auto"/>
          <w:sz w:val="24"/>
          <w:szCs w:val="24"/>
          <w:lang w:eastAsia="zh-CN"/>
        </w:rPr>
      </w:pPr>
      <w:r>
        <w:rPr>
          <w:rFonts w:hint="eastAsia" w:ascii="宋体" w:hAnsi="宋体" w:eastAsia="宋体"/>
          <w:b/>
          <w:color w:val="auto"/>
          <w:sz w:val="28"/>
          <w:szCs w:val="28"/>
          <w:lang w:eastAsia="zh-CN"/>
        </w:rPr>
        <w:t>二、</w:t>
      </w:r>
      <w:r>
        <w:rPr>
          <w:rFonts w:hint="eastAsia" w:ascii="宋体" w:hAnsi="宋体" w:eastAsia="宋体"/>
          <w:b/>
          <w:color w:val="auto"/>
          <w:sz w:val="28"/>
          <w:szCs w:val="28"/>
        </w:rPr>
        <w:t>项目建设内容</w:t>
      </w:r>
      <w:r>
        <w:rPr>
          <w:rFonts w:hint="eastAsia" w:ascii="宋体" w:hAnsi="宋体" w:eastAsia="宋体"/>
          <w:b/>
          <w:color w:val="auto"/>
          <w:sz w:val="28"/>
          <w:szCs w:val="28"/>
          <w:lang w:eastAsia="zh-CN"/>
        </w:rPr>
        <w:t>及要求</w:t>
      </w:r>
    </w:p>
    <w:tbl>
      <w:tblPr>
        <w:tblStyle w:val="5"/>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1110"/>
        <w:gridCol w:w="1349"/>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noWrap w:val="0"/>
            <w:vAlign w:val="center"/>
          </w:tcPr>
          <w:p>
            <w:pPr>
              <w:widowControl/>
              <w:spacing w:line="276" w:lineRule="auto"/>
              <w:jc w:val="both"/>
              <w:rPr>
                <w:rFonts w:hint="eastAsia" w:ascii="宋体" w:hAnsi="宋体" w:cs="仿宋"/>
                <w:b/>
                <w:bCs/>
                <w:sz w:val="24"/>
                <w:szCs w:val="24"/>
                <w:lang w:eastAsia="zh-CN"/>
              </w:rPr>
            </w:pPr>
            <w:r>
              <w:rPr>
                <w:rFonts w:hint="eastAsia" w:ascii="宋体" w:hAnsi="宋体" w:cs="仿宋"/>
                <w:b/>
                <w:bCs/>
                <w:sz w:val="24"/>
                <w:szCs w:val="24"/>
                <w:lang w:eastAsia="zh-CN"/>
              </w:rPr>
              <w:t>序号</w:t>
            </w:r>
          </w:p>
        </w:tc>
        <w:tc>
          <w:tcPr>
            <w:tcW w:w="1110" w:type="dxa"/>
            <w:noWrap w:val="0"/>
            <w:vAlign w:val="center"/>
          </w:tcPr>
          <w:p>
            <w:pPr>
              <w:widowControl/>
              <w:spacing w:line="276" w:lineRule="auto"/>
              <w:jc w:val="center"/>
              <w:rPr>
                <w:rFonts w:hint="eastAsia" w:ascii="宋体" w:hAnsi="宋体" w:eastAsia="宋体" w:cs="仿宋"/>
                <w:sz w:val="24"/>
                <w:szCs w:val="24"/>
                <w:lang w:eastAsia="zh-CN"/>
              </w:rPr>
            </w:pPr>
            <w:r>
              <w:rPr>
                <w:rFonts w:hint="eastAsia" w:ascii="宋体" w:hAnsi="宋体" w:cs="仿宋"/>
                <w:b/>
                <w:bCs/>
                <w:sz w:val="24"/>
                <w:szCs w:val="24"/>
                <w:lang w:eastAsia="zh-CN"/>
              </w:rPr>
              <w:t>模块</w:t>
            </w:r>
          </w:p>
        </w:tc>
        <w:tc>
          <w:tcPr>
            <w:tcW w:w="1349" w:type="dxa"/>
            <w:noWrap w:val="0"/>
            <w:vAlign w:val="center"/>
          </w:tcPr>
          <w:p>
            <w:pPr>
              <w:widowControl/>
              <w:spacing w:line="276" w:lineRule="auto"/>
              <w:jc w:val="center"/>
              <w:rPr>
                <w:rFonts w:hint="eastAsia" w:ascii="宋体" w:hAnsi="宋体" w:eastAsia="宋体" w:cs="仿宋"/>
                <w:sz w:val="24"/>
                <w:szCs w:val="24"/>
                <w:lang w:eastAsia="zh-CN"/>
              </w:rPr>
            </w:pPr>
            <w:r>
              <w:rPr>
                <w:rFonts w:hint="eastAsia" w:ascii="宋体" w:hAnsi="宋体" w:cs="仿宋"/>
                <w:b/>
                <w:bCs/>
                <w:sz w:val="24"/>
                <w:szCs w:val="24"/>
                <w:lang w:eastAsia="zh-CN"/>
              </w:rPr>
              <w:t>功能</w:t>
            </w:r>
          </w:p>
        </w:tc>
        <w:tc>
          <w:tcPr>
            <w:tcW w:w="5473" w:type="dxa"/>
            <w:noWrap w:val="0"/>
            <w:vAlign w:val="center"/>
          </w:tcPr>
          <w:p>
            <w:pPr>
              <w:widowControl/>
              <w:spacing w:line="276" w:lineRule="auto"/>
              <w:jc w:val="center"/>
              <w:rPr>
                <w:rFonts w:hint="eastAsia" w:ascii="宋体" w:hAnsi="宋体" w:eastAsia="宋体" w:cs="仿宋"/>
                <w:sz w:val="24"/>
                <w:szCs w:val="24"/>
                <w:lang w:eastAsia="zh-CN"/>
              </w:rPr>
            </w:pPr>
            <w:r>
              <w:rPr>
                <w:rFonts w:hint="eastAsia" w:ascii="宋体" w:hAnsi="宋体" w:eastAsia="宋体"/>
                <w:b/>
                <w:kern w:val="0"/>
                <w:sz w:val="24"/>
                <w:szCs w:val="24"/>
                <w:lang w:eastAsia="zh-CN"/>
              </w:rPr>
              <w:t>内涵描述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restart"/>
            <w:noWrap w:val="0"/>
            <w:vAlign w:val="center"/>
          </w:tcPr>
          <w:p>
            <w:pPr>
              <w:widowControl/>
              <w:numPr>
                <w:ilvl w:val="0"/>
                <w:numId w:val="0"/>
              </w:numPr>
              <w:spacing w:line="276" w:lineRule="auto"/>
              <w:ind w:leftChars="0"/>
              <w:jc w:val="both"/>
              <w:rPr>
                <w:rFonts w:hint="eastAsia" w:ascii="宋体" w:hAnsi="宋体" w:eastAsia="宋体" w:cs="仿宋"/>
                <w:b/>
                <w:bCs/>
                <w:sz w:val="24"/>
                <w:szCs w:val="24"/>
                <w:lang w:val="en-US" w:eastAsia="zh-CN"/>
              </w:rPr>
            </w:pPr>
            <w:r>
              <w:rPr>
                <w:rFonts w:hint="eastAsia" w:ascii="宋体" w:hAnsi="宋体" w:eastAsia="宋体" w:cs="仿宋"/>
                <w:b/>
                <w:bCs/>
                <w:sz w:val="24"/>
                <w:szCs w:val="24"/>
                <w:lang w:val="en-US" w:eastAsia="zh-CN"/>
              </w:rPr>
              <w:t>1</w:t>
            </w:r>
          </w:p>
        </w:tc>
        <w:tc>
          <w:tcPr>
            <w:tcW w:w="1110" w:type="dxa"/>
            <w:vMerge w:val="restart"/>
            <w:noWrap w:val="0"/>
            <w:vAlign w:val="center"/>
          </w:tcPr>
          <w:p>
            <w:pPr>
              <w:widowControl/>
              <w:numPr>
                <w:ilvl w:val="0"/>
                <w:numId w:val="0"/>
              </w:numPr>
              <w:spacing w:line="276" w:lineRule="auto"/>
              <w:ind w:leftChars="0"/>
              <w:jc w:val="both"/>
              <w:rPr>
                <w:rFonts w:hint="eastAsia" w:ascii="宋体" w:hAnsi="宋体" w:cs="仿宋"/>
                <w:sz w:val="24"/>
                <w:szCs w:val="24"/>
              </w:rPr>
            </w:pPr>
            <w:r>
              <w:rPr>
                <w:rFonts w:hint="eastAsia" w:ascii="宋体" w:hAnsi="宋体" w:cs="仿宋"/>
                <w:b/>
                <w:bCs/>
                <w:sz w:val="24"/>
                <w:szCs w:val="24"/>
              </w:rPr>
              <w:t>电生理存储管理</w:t>
            </w:r>
            <w:r>
              <w:rPr>
                <w:rFonts w:hint="eastAsia" w:ascii="宋体" w:hAnsi="宋体" w:cs="仿宋"/>
                <w:b/>
                <w:bCs/>
                <w:sz w:val="24"/>
                <w:szCs w:val="24"/>
                <w:lang w:val="en-US" w:eastAsia="zh-CN"/>
              </w:rPr>
              <w:t xml:space="preserve"> </w:t>
            </w: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1、</w:t>
            </w:r>
            <w:r>
              <w:rPr>
                <w:rFonts w:hint="eastAsia" w:ascii="宋体" w:hAnsi="宋体" w:eastAsia="宋体" w:cs="仿宋"/>
                <w:b/>
                <w:bCs/>
                <w:sz w:val="21"/>
                <w:szCs w:val="21"/>
              </w:rPr>
              <w:t>存储管理</w:t>
            </w:r>
          </w:p>
        </w:tc>
        <w:tc>
          <w:tcPr>
            <w:tcW w:w="5473" w:type="dxa"/>
            <w:noWrap w:val="0"/>
            <w:vAlign w:val="top"/>
          </w:tcPr>
          <w:p>
            <w:pPr>
              <w:numPr>
                <w:ilvl w:val="0"/>
                <w:numId w:val="3"/>
              </w:numPr>
              <w:spacing w:line="276" w:lineRule="auto"/>
              <w:jc w:val="left"/>
              <w:rPr>
                <w:rFonts w:hint="eastAsia"/>
                <w:sz w:val="21"/>
                <w:szCs w:val="21"/>
              </w:rPr>
            </w:pPr>
            <w:r>
              <w:rPr>
                <w:rFonts w:hint="eastAsia"/>
                <w:sz w:val="21"/>
                <w:szCs w:val="21"/>
              </w:rPr>
              <w:t>系统</w:t>
            </w:r>
            <w:r>
              <w:rPr>
                <w:rFonts w:hint="eastAsia"/>
                <w:sz w:val="21"/>
                <w:szCs w:val="21"/>
                <w:lang w:eastAsia="zh-CN"/>
              </w:rPr>
              <w:t>须</w:t>
            </w:r>
            <w:r>
              <w:rPr>
                <w:rFonts w:hint="eastAsia"/>
                <w:sz w:val="21"/>
                <w:szCs w:val="21"/>
              </w:rPr>
              <w:t>具备数据库管理功能，预约登记功能、统计检索功能、心电显示功能、报告输出功能、WEB浏览软件功能等。</w:t>
            </w:r>
          </w:p>
          <w:p>
            <w:pPr>
              <w:pStyle w:val="2"/>
              <w:numPr>
                <w:ilvl w:val="0"/>
                <w:numId w:val="3"/>
              </w:numPr>
              <w:rPr>
                <w:rFonts w:hint="eastAsia"/>
                <w:sz w:val="21"/>
                <w:szCs w:val="21"/>
              </w:rPr>
            </w:pPr>
            <w:r>
              <w:rPr>
                <w:rFonts w:hint="eastAsia" w:ascii="宋体" w:hAnsi="宋体" w:cs="仿宋"/>
                <w:sz w:val="21"/>
                <w:szCs w:val="21"/>
              </w:rPr>
              <w:t>支持以XML格式为架构心电电生理报告及HL7标准的集成标准。</w:t>
            </w:r>
          </w:p>
          <w:p>
            <w:pPr>
              <w:pStyle w:val="2"/>
              <w:numPr>
                <w:ilvl w:val="0"/>
                <w:numId w:val="3"/>
              </w:numPr>
              <w:rPr>
                <w:rFonts w:hint="eastAsia"/>
                <w:sz w:val="21"/>
                <w:szCs w:val="21"/>
              </w:rPr>
            </w:pPr>
            <w:r>
              <w:rPr>
                <w:rFonts w:hint="eastAsia" w:ascii="宋体" w:hAnsi="宋体" w:cs="微软雅黑"/>
                <w:color w:val="000000"/>
                <w:sz w:val="21"/>
                <w:szCs w:val="21"/>
              </w:rPr>
              <w:t>支持原有典型数据、原始图像提取技术，可使用专用报告工作站出报告，并实现电生理检查的流程化管理。</w:t>
            </w:r>
          </w:p>
          <w:p>
            <w:pPr>
              <w:pStyle w:val="2"/>
              <w:numPr>
                <w:ilvl w:val="0"/>
                <w:numId w:val="3"/>
              </w:numPr>
              <w:rPr>
                <w:rFonts w:hint="eastAsia"/>
              </w:rPr>
            </w:pPr>
            <w:r>
              <w:rPr>
                <w:rFonts w:hint="eastAsia" w:ascii="宋体" w:hAnsi="宋体" w:eastAsia="宋体" w:cs="仿宋"/>
                <w:sz w:val="21"/>
                <w:szCs w:val="21"/>
              </w:rPr>
              <w:t>具有完善的日志管理功能，必须包括但不限于采集、诊断、审核、心电文件和报告的上传、诊断结论的修改、互联互通接口日志等。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2、权限管理</w:t>
            </w:r>
          </w:p>
        </w:tc>
        <w:tc>
          <w:tcPr>
            <w:tcW w:w="5473" w:type="dxa"/>
            <w:noWrap w:val="0"/>
            <w:vAlign w:val="top"/>
          </w:tcPr>
          <w:p>
            <w:pPr>
              <w:pStyle w:val="4"/>
              <w:spacing w:line="276" w:lineRule="auto"/>
              <w:ind w:left="0" w:leftChars="0" w:firstLine="0" w:firstLineChars="0"/>
              <w:jc w:val="left"/>
              <w:rPr>
                <w:rFonts w:ascii="宋体" w:hAnsi="宋体" w:eastAsia="宋体" w:cs="仿宋"/>
                <w:sz w:val="24"/>
                <w:szCs w:val="24"/>
              </w:rPr>
            </w:pPr>
            <w:r>
              <w:rPr>
                <w:rFonts w:hint="eastAsia" w:ascii="Calibri" w:hAnsi="Calibri" w:eastAsia="宋体" w:cs="Times New Roman"/>
                <w:kern w:val="2"/>
                <w:sz w:val="21"/>
                <w:szCs w:val="21"/>
                <w:lang w:val="en-US" w:eastAsia="zh-CN" w:bidi="ar-SA"/>
              </w:rPr>
              <w:t>具有完善的权限管理系统，提供医疗机构、科室、医生、各级平台管理人员的增、删、改、查管理功能，系统管理员能根据各级工作职责为其分配相应的权限。使用者只能做已授权的操作，并只能访问其管辖范围内的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rPr>
                <w:rFonts w:hint="eastAsia" w:ascii="宋体" w:hAnsi="宋体" w:cs="仿宋"/>
                <w:sz w:val="24"/>
                <w:szCs w:val="24"/>
              </w:rPr>
            </w:pPr>
          </w:p>
        </w:tc>
        <w:tc>
          <w:tcPr>
            <w:tcW w:w="1110" w:type="dxa"/>
            <w:vMerge w:val="continue"/>
            <w:noWrap w:val="0"/>
            <w:vAlign w:val="center"/>
          </w:tcPr>
          <w:p>
            <w:pPr>
              <w:widowControl/>
              <w:spacing w:line="276" w:lineRule="auto"/>
              <w:rPr>
                <w:rFonts w:hint="eastAsia" w:ascii="宋体" w:hAnsi="宋体" w:cs="仿宋"/>
                <w:sz w:val="24"/>
                <w:szCs w:val="24"/>
              </w:rPr>
            </w:pP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3、安全管理</w:t>
            </w:r>
          </w:p>
        </w:tc>
        <w:tc>
          <w:tcPr>
            <w:tcW w:w="5473" w:type="dxa"/>
            <w:noWrap w:val="0"/>
            <w:vAlign w:val="top"/>
          </w:tcPr>
          <w:p>
            <w:pPr>
              <w:numPr>
                <w:ilvl w:val="0"/>
                <w:numId w:val="4"/>
              </w:numPr>
              <w:spacing w:line="276" w:lineRule="auto"/>
              <w:jc w:val="left"/>
              <w:rPr>
                <w:rFonts w:hint="eastAsia" w:ascii="Calibri" w:hAnsi="Calibri" w:eastAsia="宋体" w:cs="Times New Roman"/>
                <w:kern w:val="2"/>
                <w:sz w:val="21"/>
                <w:szCs w:val="21"/>
                <w:lang w:val="en-US" w:eastAsia="zh-CN" w:bidi="ar-SA"/>
              </w:rPr>
            </w:pPr>
            <w:r>
              <w:rPr>
                <w:rFonts w:hint="eastAsia" w:ascii="Calibri" w:hAnsi="Calibri" w:eastAsia="宋体" w:cs="Times New Roman"/>
                <w:kern w:val="2"/>
                <w:sz w:val="21"/>
                <w:szCs w:val="21"/>
                <w:lang w:val="en-US" w:eastAsia="zh-CN" w:bidi="ar-SA"/>
              </w:rPr>
              <w:t>系统的设计、应用与数据使用应安全、可靠、准确、可信、可用、完整。系统与数据的安全应符合国家有关法律和规定。保护患者信息隐私。保障信息传输完整性、系统数据传输和存储的保密性。</w:t>
            </w:r>
          </w:p>
          <w:p>
            <w:pPr>
              <w:pStyle w:val="2"/>
              <w:numPr>
                <w:ilvl w:val="0"/>
                <w:numId w:val="4"/>
              </w:numPr>
              <w:rPr>
                <w:rFonts w:hint="eastAsia"/>
              </w:rPr>
            </w:pPr>
            <w:r>
              <w:rPr>
                <w:rFonts w:hint="eastAsia" w:ascii="Calibri" w:hAnsi="Calibri" w:eastAsia="宋体" w:cs="Times New Roman"/>
                <w:kern w:val="2"/>
                <w:sz w:val="21"/>
                <w:szCs w:val="21"/>
                <w:lang w:val="en-US" w:eastAsia="zh-CN" w:bidi="ar-SA"/>
              </w:rPr>
              <w:t>系统应具有严格的身份认证和访问控制功能，杜绝因各种非法访问对系统的安全性造成严重的损坏。系统具有完备的信息安全保障体系，能对登录用户的身份进行认证，并跟踪用户的操作。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4、全院WEB服务</w:t>
            </w:r>
          </w:p>
        </w:tc>
        <w:tc>
          <w:tcPr>
            <w:tcW w:w="5473" w:type="dxa"/>
            <w:noWrap w:val="0"/>
            <w:vAlign w:val="top"/>
          </w:tcPr>
          <w:p>
            <w:pPr>
              <w:numPr>
                <w:ilvl w:val="0"/>
                <w:numId w:val="0"/>
              </w:numPr>
              <w:spacing w:line="276" w:lineRule="auto"/>
              <w:jc w:val="left"/>
              <w:rPr>
                <w:rFonts w:hint="eastAsia"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1、</w:t>
            </w:r>
            <w:r>
              <w:rPr>
                <w:rFonts w:hint="eastAsia" w:ascii="Calibri" w:hAnsi="Calibri" w:eastAsia="宋体" w:cs="Times New Roman"/>
                <w:kern w:val="2"/>
                <w:sz w:val="21"/>
                <w:szCs w:val="21"/>
                <w:lang w:val="en-US" w:eastAsia="zh-CN" w:bidi="ar-SA"/>
              </w:rPr>
              <w:t xml:space="preserve">检查报告能嵌入到HIS系统和电子病历系统，当报告医生审核上传报告后，临床医生可以通过HIS系统和电子病历系统查看患者的心电报告，可以查看原始数据，可以调整走速和增益。 </w:t>
            </w:r>
          </w:p>
          <w:p>
            <w:pPr>
              <w:numPr>
                <w:ilvl w:val="0"/>
                <w:numId w:val="0"/>
              </w:numPr>
              <w:spacing w:line="276" w:lineRule="auto"/>
              <w:jc w:val="left"/>
            </w:pPr>
            <w:r>
              <w:rPr>
                <w:rFonts w:hint="eastAsia" w:cs="Times New Roman"/>
                <w:kern w:val="2"/>
                <w:sz w:val="21"/>
                <w:szCs w:val="21"/>
                <w:lang w:val="en-US" w:eastAsia="zh-CN" w:bidi="ar-SA"/>
              </w:rPr>
              <w:t>2、</w:t>
            </w:r>
            <w:r>
              <w:rPr>
                <w:rFonts w:hint="eastAsia" w:ascii="Calibri" w:hAnsi="Calibri" w:eastAsia="宋体" w:cs="Times New Roman"/>
                <w:kern w:val="2"/>
                <w:sz w:val="21"/>
                <w:szCs w:val="21"/>
                <w:lang w:val="en-US" w:eastAsia="zh-CN" w:bidi="ar-SA"/>
              </w:rPr>
              <w:t>具有在线WEB界面心电图分析功能，查看长时间原始心电波形；提供心电图处理测量功能，波形显示、幅值调整等功能，具有WEB方式报告助手。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restart"/>
            <w:noWrap w:val="0"/>
            <w:vAlign w:val="center"/>
          </w:tcPr>
          <w:p>
            <w:pPr>
              <w:widowControl/>
              <w:numPr>
                <w:ilvl w:val="0"/>
                <w:numId w:val="0"/>
              </w:numPr>
              <w:spacing w:line="276" w:lineRule="auto"/>
              <w:ind w:leftChars="0"/>
              <w:jc w:val="both"/>
              <w:rPr>
                <w:rFonts w:hint="default" w:ascii="宋体" w:hAnsi="宋体" w:eastAsia="宋体" w:cs="仿宋"/>
                <w:b/>
                <w:bCs/>
                <w:sz w:val="24"/>
                <w:szCs w:val="24"/>
                <w:lang w:val="en-US" w:eastAsia="zh-CN"/>
              </w:rPr>
            </w:pPr>
            <w:r>
              <w:rPr>
                <w:rFonts w:hint="eastAsia" w:ascii="宋体" w:hAnsi="宋体" w:eastAsia="宋体" w:cs="仿宋"/>
                <w:b/>
                <w:bCs/>
                <w:sz w:val="24"/>
                <w:szCs w:val="24"/>
                <w:lang w:val="en-US" w:eastAsia="zh-CN"/>
              </w:rPr>
              <w:t>2</w:t>
            </w:r>
          </w:p>
        </w:tc>
        <w:tc>
          <w:tcPr>
            <w:tcW w:w="1110" w:type="dxa"/>
            <w:vMerge w:val="restart"/>
            <w:noWrap w:val="0"/>
            <w:vAlign w:val="center"/>
          </w:tcPr>
          <w:p>
            <w:pPr>
              <w:widowControl/>
              <w:numPr>
                <w:ilvl w:val="0"/>
                <w:numId w:val="0"/>
              </w:numPr>
              <w:spacing w:line="276" w:lineRule="auto"/>
              <w:ind w:leftChars="0"/>
              <w:jc w:val="both"/>
              <w:rPr>
                <w:rFonts w:hint="eastAsia" w:ascii="宋体" w:hAnsi="宋体" w:cs="仿宋"/>
                <w:sz w:val="24"/>
                <w:szCs w:val="24"/>
              </w:rPr>
            </w:pPr>
            <w:r>
              <w:rPr>
                <w:rFonts w:hint="eastAsia" w:ascii="宋体" w:hAnsi="宋体" w:eastAsia="宋体" w:cs="仿宋"/>
                <w:b/>
                <w:bCs/>
                <w:sz w:val="24"/>
                <w:szCs w:val="24"/>
                <w:lang w:val="en-US" w:eastAsia="zh-CN"/>
              </w:rPr>
              <w:t>电生理业务流程</w:t>
            </w: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1、预约登记</w:t>
            </w:r>
          </w:p>
        </w:tc>
        <w:tc>
          <w:tcPr>
            <w:tcW w:w="5473" w:type="dxa"/>
            <w:noWrap w:val="0"/>
            <w:vAlign w:val="center"/>
          </w:tcPr>
          <w:p>
            <w:pPr>
              <w:widowControl/>
              <w:spacing w:line="276" w:lineRule="auto"/>
              <w:jc w:val="left"/>
              <w:rPr>
                <w:rFonts w:hint="eastAsia" w:ascii="宋体" w:hAnsi="宋体" w:cs="仿宋"/>
                <w:sz w:val="24"/>
                <w:szCs w:val="24"/>
              </w:rPr>
            </w:pPr>
            <w:r>
              <w:rPr>
                <w:rFonts w:hint="eastAsia" w:ascii="Calibri" w:hAnsi="Calibri" w:eastAsia="宋体" w:cs="Times New Roman"/>
                <w:kern w:val="2"/>
                <w:sz w:val="21"/>
                <w:szCs w:val="21"/>
                <w:lang w:val="en-US" w:eastAsia="zh-CN" w:bidi="ar-SA"/>
              </w:rPr>
              <w:t>前台登记员通过输入患者的住院号、就诊卡号来提取医生开的电子申请单，完成患者信息的录入和分诊，登记的患者信息可直接发送到连接设备电脑上，同时预约登记需要具备条形码打印功能。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349" w:type="dxa"/>
            <w:noWrap w:val="0"/>
            <w:vAlign w:val="center"/>
          </w:tcPr>
          <w:p>
            <w:pPr>
              <w:widowControl/>
              <w:spacing w:line="276" w:lineRule="auto"/>
              <w:jc w:val="center"/>
              <w:rPr>
                <w:rFonts w:hint="eastAsia" w:ascii="宋体" w:hAnsi="宋体" w:cs="仿宋"/>
                <w:sz w:val="24"/>
                <w:szCs w:val="24"/>
              </w:rPr>
            </w:pPr>
            <w:r>
              <w:rPr>
                <w:rFonts w:hint="eastAsia" w:ascii="宋体" w:hAnsi="宋体" w:eastAsia="宋体" w:cs="仿宋"/>
                <w:b/>
                <w:bCs/>
                <w:sz w:val="21"/>
                <w:szCs w:val="21"/>
                <w:lang w:val="en-US" w:eastAsia="zh-CN"/>
              </w:rPr>
              <w:t>2、电子叫号</w:t>
            </w:r>
          </w:p>
        </w:tc>
        <w:tc>
          <w:tcPr>
            <w:tcW w:w="5473" w:type="dxa"/>
            <w:noWrap w:val="0"/>
            <w:vAlign w:val="center"/>
          </w:tcPr>
          <w:p>
            <w:pPr>
              <w:widowControl/>
              <w:spacing w:line="276" w:lineRule="auto"/>
              <w:jc w:val="left"/>
              <w:rPr>
                <w:rFonts w:hint="eastAsia" w:ascii="宋体" w:hAnsi="宋体" w:cs="仿宋"/>
                <w:sz w:val="24"/>
                <w:szCs w:val="24"/>
              </w:rPr>
            </w:pPr>
            <w:r>
              <w:rPr>
                <w:rFonts w:hint="eastAsia" w:ascii="Calibri" w:hAnsi="Calibri" w:eastAsia="宋体" w:cs="Times New Roman"/>
                <w:kern w:val="2"/>
                <w:sz w:val="21"/>
                <w:szCs w:val="21"/>
                <w:lang w:val="en-US" w:eastAsia="zh-CN" w:bidi="ar-SA"/>
              </w:rPr>
              <w:t>提供标准女声语音库，可以实现自动语音呼叫患者就诊，并在候诊屏幕上显示待检查患者信息。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349" w:type="dxa"/>
            <w:noWrap w:val="0"/>
            <w:vAlign w:val="center"/>
          </w:tcPr>
          <w:p>
            <w:pPr>
              <w:spacing w:line="276" w:lineRule="auto"/>
              <w:rPr>
                <w:rFonts w:hint="eastAsia" w:ascii="宋体" w:hAnsi="宋体" w:cs="宋体"/>
                <w:color w:val="000000"/>
                <w:kern w:val="0"/>
                <w:sz w:val="24"/>
                <w:szCs w:val="24"/>
              </w:rPr>
            </w:pPr>
            <w:r>
              <w:rPr>
                <w:rFonts w:hint="eastAsia" w:ascii="宋体" w:hAnsi="宋体" w:eastAsia="宋体" w:cs="仿宋"/>
                <w:b/>
                <w:bCs/>
                <w:sz w:val="21"/>
                <w:szCs w:val="21"/>
                <w:lang w:val="en-US" w:eastAsia="zh-CN"/>
              </w:rPr>
              <w:t>3、动态心电、动态血压数据接入</w:t>
            </w:r>
          </w:p>
        </w:tc>
        <w:tc>
          <w:tcPr>
            <w:tcW w:w="5473" w:type="dxa"/>
            <w:noWrap w:val="0"/>
            <w:vAlign w:val="center"/>
          </w:tcPr>
          <w:p>
            <w:pPr>
              <w:widowControl/>
              <w:numPr>
                <w:ilvl w:val="0"/>
                <w:numId w:val="5"/>
              </w:numPr>
              <w:spacing w:line="276" w:lineRule="auto"/>
              <w:jc w:val="left"/>
              <w:rPr>
                <w:rFonts w:hint="eastAsia"/>
                <w:sz w:val="21"/>
                <w:szCs w:val="21"/>
              </w:rPr>
            </w:pPr>
            <w:r>
              <w:rPr>
                <w:rFonts w:hint="eastAsia"/>
                <w:sz w:val="21"/>
                <w:szCs w:val="21"/>
              </w:rPr>
              <w:t>接入现有动态心电、动态血压设备</w:t>
            </w:r>
            <w:r>
              <w:rPr>
                <w:rFonts w:hint="eastAsia"/>
                <w:sz w:val="21"/>
                <w:szCs w:val="21"/>
                <w:lang w:eastAsia="zh-CN"/>
              </w:rPr>
              <w:t>，现有品牌</w:t>
            </w:r>
            <w:r>
              <w:rPr>
                <w:rFonts w:hint="eastAsia"/>
              </w:rPr>
              <w:t>动态心电图（杭州百慧 ）动态血压（杭州百慧、星脉）</w:t>
            </w:r>
            <w:r>
              <w:rPr>
                <w:rFonts w:hint="eastAsia"/>
                <w:lang w:eastAsia="zh-CN"/>
              </w:rPr>
              <w:t>，</w:t>
            </w:r>
            <w:r>
              <w:rPr>
                <w:rFonts w:hint="eastAsia"/>
                <w:sz w:val="21"/>
                <w:szCs w:val="21"/>
              </w:rPr>
              <w:t>获取动态心电、动态血压原始数据，并通过系统实现统一存储管理。</w:t>
            </w:r>
          </w:p>
          <w:p>
            <w:pPr>
              <w:pStyle w:val="2"/>
              <w:numPr>
                <w:ilvl w:val="0"/>
                <w:numId w:val="5"/>
              </w:numPr>
              <w:rPr>
                <w:rFonts w:hint="eastAsia"/>
                <w:sz w:val="21"/>
                <w:szCs w:val="21"/>
              </w:rPr>
            </w:pPr>
            <w:r>
              <w:rPr>
                <w:rFonts w:hint="eastAsia" w:ascii="宋体" w:hAnsi="宋体" w:cs="微软雅黑"/>
                <w:color w:val="000000"/>
                <w:sz w:val="21"/>
                <w:szCs w:val="21"/>
              </w:rPr>
              <w:t>由服务器实现所有动态心电原始数据后台预分析。</w:t>
            </w:r>
          </w:p>
          <w:p>
            <w:pPr>
              <w:pStyle w:val="2"/>
              <w:numPr>
                <w:ilvl w:val="0"/>
                <w:numId w:val="5"/>
              </w:numPr>
              <w:rPr>
                <w:rFonts w:hint="eastAsia"/>
              </w:rPr>
            </w:pPr>
            <w:r>
              <w:rPr>
                <w:rFonts w:hint="eastAsia" w:ascii="宋体" w:hAnsi="宋体" w:cs="微软雅黑"/>
                <w:color w:val="000000"/>
                <w:sz w:val="21"/>
                <w:szCs w:val="21"/>
              </w:rPr>
              <w:t>提供动态心电</w:t>
            </w:r>
            <w:r>
              <w:rPr>
                <w:rFonts w:hint="eastAsia" w:ascii="宋体" w:hAnsi="宋体"/>
                <w:sz w:val="21"/>
                <w:szCs w:val="21"/>
              </w:rPr>
              <w:t>、动态血压</w:t>
            </w:r>
            <w:r>
              <w:rPr>
                <w:rFonts w:hint="eastAsia" w:ascii="宋体" w:hAnsi="宋体" w:cs="微软雅黑"/>
                <w:color w:val="000000"/>
                <w:sz w:val="21"/>
                <w:szCs w:val="21"/>
              </w:rPr>
              <w:t>专业分析工具，辅助医生快速完成数据分析。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110" w:type="dxa"/>
            <w:vMerge w:val="continue"/>
            <w:noWrap w:val="0"/>
            <w:vAlign w:val="center"/>
          </w:tcPr>
          <w:p>
            <w:pPr>
              <w:widowControl/>
              <w:spacing w:line="276" w:lineRule="auto"/>
              <w:jc w:val="center"/>
              <w:rPr>
                <w:rFonts w:hint="eastAsia" w:ascii="宋体" w:hAnsi="宋体" w:cs="仿宋"/>
                <w:sz w:val="24"/>
                <w:szCs w:val="24"/>
              </w:rPr>
            </w:pPr>
          </w:p>
        </w:tc>
        <w:tc>
          <w:tcPr>
            <w:tcW w:w="1349" w:type="dxa"/>
            <w:noWrap w:val="0"/>
            <w:vAlign w:val="center"/>
          </w:tcPr>
          <w:p>
            <w:pPr>
              <w:spacing w:line="276" w:lineRule="auto"/>
              <w:jc w:val="center"/>
              <w:rPr>
                <w:rFonts w:hint="eastAsia" w:ascii="宋体" w:hAnsi="宋体" w:cs="宋体"/>
                <w:color w:val="000000"/>
                <w:kern w:val="0"/>
                <w:sz w:val="24"/>
                <w:szCs w:val="24"/>
              </w:rPr>
            </w:pPr>
            <w:r>
              <w:rPr>
                <w:rFonts w:hint="eastAsia" w:ascii="宋体" w:hAnsi="宋体" w:eastAsia="宋体" w:cs="仿宋"/>
                <w:b/>
                <w:bCs/>
                <w:sz w:val="21"/>
                <w:szCs w:val="21"/>
                <w:lang w:val="en-US" w:eastAsia="zh-CN"/>
              </w:rPr>
              <w:t>4、其他电生理数据接入</w:t>
            </w:r>
          </w:p>
        </w:tc>
        <w:tc>
          <w:tcPr>
            <w:tcW w:w="5473" w:type="dxa"/>
            <w:noWrap w:val="0"/>
            <w:vAlign w:val="top"/>
          </w:tcPr>
          <w:p>
            <w:pPr>
              <w:widowControl/>
              <w:numPr>
                <w:ilvl w:val="0"/>
                <w:numId w:val="6"/>
              </w:numPr>
              <w:spacing w:line="276" w:lineRule="auto"/>
              <w:jc w:val="left"/>
              <w:rPr>
                <w:rFonts w:hint="eastAsia"/>
              </w:rPr>
            </w:pPr>
            <w:r>
              <w:rPr>
                <w:rFonts w:hint="eastAsia"/>
                <w:sz w:val="21"/>
                <w:szCs w:val="21"/>
              </w:rPr>
              <w:t>支持将院内现有其他电生理设备接入，实现信息化统一管理，</w:t>
            </w:r>
            <w:r>
              <w:rPr>
                <w:rFonts w:hint="eastAsia"/>
                <w:sz w:val="21"/>
                <w:szCs w:val="21"/>
                <w:lang w:eastAsia="zh-CN"/>
              </w:rPr>
              <w:t>现有（1）</w:t>
            </w:r>
            <w:r>
              <w:rPr>
                <w:rFonts w:hint="eastAsia"/>
              </w:rPr>
              <w:t>QXG-左右心功能同步检测仪（杭州高联 VIB）</w:t>
            </w:r>
            <w:r>
              <w:rPr>
                <w:rFonts w:hint="eastAsia"/>
                <w:lang w:eastAsia="zh-CN"/>
              </w:rPr>
              <w:t>；（2）</w:t>
            </w:r>
            <w:r>
              <w:rPr>
                <w:rFonts w:hint="eastAsia"/>
              </w:rPr>
              <w:t>倾斜试验监测软件系统（北京斯坦德利 SHUT-100）</w:t>
            </w:r>
            <w:r>
              <w:rPr>
                <w:rFonts w:hint="eastAsia"/>
                <w:lang w:eastAsia="zh-CN"/>
              </w:rPr>
              <w:t>；（3）</w:t>
            </w:r>
            <w:r>
              <w:rPr>
                <w:rFonts w:hint="eastAsia"/>
              </w:rPr>
              <w:t>心脏电生理刺激仪（苏州东方电子仪器厂 DF-5A）</w:t>
            </w:r>
            <w:r>
              <w:rPr>
                <w:rFonts w:hint="eastAsia"/>
                <w:lang w:eastAsia="zh-CN"/>
              </w:rPr>
              <w:t>；（4）</w:t>
            </w:r>
            <w:r>
              <w:rPr>
                <w:rFonts w:hint="eastAsia"/>
              </w:rPr>
              <w:t>动脉硬化检测仪 （欧姆龙 BP-203RPEIII）</w:t>
            </w:r>
          </w:p>
          <w:p>
            <w:pPr>
              <w:widowControl/>
              <w:numPr>
                <w:ilvl w:val="0"/>
                <w:numId w:val="0"/>
              </w:numPr>
              <w:spacing w:line="276" w:lineRule="auto"/>
              <w:jc w:val="left"/>
              <w:rPr>
                <w:rFonts w:hint="eastAsia"/>
                <w:sz w:val="21"/>
                <w:szCs w:val="21"/>
                <w:lang w:eastAsia="zh-CN"/>
              </w:rPr>
            </w:pPr>
            <w:r>
              <w:rPr>
                <w:rFonts w:hint="eastAsia"/>
                <w:lang w:eastAsia="zh-CN"/>
              </w:rPr>
              <w:t>；（5）</w:t>
            </w:r>
            <w:r>
              <w:rPr>
                <w:rFonts w:hint="eastAsia"/>
              </w:rPr>
              <w:t>运动平板（GE）</w:t>
            </w:r>
            <w:r>
              <w:rPr>
                <w:rFonts w:hint="eastAsia"/>
                <w:lang w:eastAsia="zh-CN"/>
              </w:rPr>
              <w:t>；（6）</w:t>
            </w:r>
            <w:r>
              <w:rPr>
                <w:rFonts w:hint="eastAsia"/>
              </w:rPr>
              <w:t>起搏器程控仪（美敦力、圣尤达）</w:t>
            </w:r>
          </w:p>
          <w:p>
            <w:pPr>
              <w:pStyle w:val="2"/>
              <w:numPr>
                <w:ilvl w:val="0"/>
                <w:numId w:val="6"/>
              </w:numPr>
              <w:rPr>
                <w:rFonts w:hint="eastAsia"/>
                <w:sz w:val="21"/>
                <w:szCs w:val="21"/>
                <w:lang w:eastAsia="zh-CN"/>
              </w:rPr>
            </w:pPr>
            <w:r>
              <w:rPr>
                <w:rFonts w:hint="eastAsia" w:ascii="宋体" w:hAnsi="宋体" w:cs="微软雅黑"/>
                <w:color w:val="000000"/>
                <w:sz w:val="21"/>
                <w:szCs w:val="21"/>
              </w:rPr>
              <w:t>实现电生理设备图像报告电子化，由电生理系统统一存储管理</w:t>
            </w:r>
            <w:r>
              <w:rPr>
                <w:rFonts w:hint="eastAsia" w:ascii="宋体" w:hAnsi="宋体" w:cs="微软雅黑"/>
                <w:color w:val="000000"/>
                <w:sz w:val="21"/>
                <w:szCs w:val="21"/>
                <w:lang w:eastAsia="zh-CN"/>
              </w:rPr>
              <w:t>。</w:t>
            </w:r>
          </w:p>
          <w:p>
            <w:pPr>
              <w:pStyle w:val="2"/>
              <w:numPr>
                <w:ilvl w:val="0"/>
                <w:numId w:val="6"/>
              </w:numPr>
              <w:rPr>
                <w:rFonts w:hint="eastAsia"/>
                <w:sz w:val="21"/>
                <w:szCs w:val="21"/>
                <w:lang w:eastAsia="zh-CN"/>
              </w:rPr>
            </w:pPr>
            <w:r>
              <w:rPr>
                <w:rFonts w:hint="eastAsia" w:ascii="宋体" w:hAnsi="宋体" w:cs="微软雅黑"/>
                <w:color w:val="000000"/>
                <w:sz w:val="21"/>
                <w:szCs w:val="21"/>
              </w:rPr>
              <w:t>支持与HIS系统电子申请的对接，从而实现检查数据与病人信息的统一。</w:t>
            </w:r>
          </w:p>
          <w:p>
            <w:pPr>
              <w:pStyle w:val="2"/>
              <w:numPr>
                <w:ilvl w:val="0"/>
                <w:numId w:val="6"/>
              </w:numPr>
              <w:rPr>
                <w:rFonts w:hint="eastAsia"/>
                <w:sz w:val="21"/>
                <w:szCs w:val="21"/>
                <w:lang w:eastAsia="zh-CN"/>
              </w:rPr>
            </w:pPr>
            <w:r>
              <w:rPr>
                <w:rFonts w:hint="eastAsia" w:ascii="宋体" w:hAnsi="宋体" w:cs="微软雅黑"/>
                <w:color w:val="000000"/>
                <w:sz w:val="21"/>
                <w:szCs w:val="21"/>
              </w:rPr>
              <w:t>支持原有典型数据、原始图像提取技术，可使用专用报告工作站出报告，并实现电生理检查的流程化管理</w:t>
            </w:r>
            <w:r>
              <w:rPr>
                <w:rFonts w:hint="eastAsia" w:ascii="宋体" w:hAnsi="宋体" w:cs="微软雅黑"/>
                <w:color w:val="000000"/>
                <w:sz w:val="21"/>
                <w:szCs w:val="21"/>
                <w:lang w:eastAsia="zh-CN"/>
              </w:rPr>
              <w:t>。</w:t>
            </w:r>
          </w:p>
          <w:p>
            <w:pPr>
              <w:pStyle w:val="2"/>
              <w:numPr>
                <w:ilvl w:val="0"/>
                <w:numId w:val="6"/>
              </w:numPr>
              <w:rPr>
                <w:rFonts w:hint="eastAsia"/>
                <w:sz w:val="21"/>
                <w:szCs w:val="21"/>
                <w:lang w:eastAsia="zh-CN"/>
              </w:rPr>
            </w:pPr>
            <w:r>
              <w:rPr>
                <w:rFonts w:hint="eastAsia" w:ascii="宋体" w:hAnsi="宋体" w:cs="微软雅黑"/>
                <w:color w:val="000000"/>
                <w:sz w:val="21"/>
                <w:szCs w:val="21"/>
              </w:rPr>
              <w:t>报告格式可以用户自己定义</w:t>
            </w:r>
            <w:r>
              <w:rPr>
                <w:rFonts w:hint="eastAsia" w:ascii="宋体" w:hAnsi="宋体" w:cs="微软雅黑"/>
                <w:color w:val="000000"/>
                <w:sz w:val="21"/>
                <w:szCs w:val="21"/>
                <w:lang w:eastAsia="zh-CN"/>
              </w:rPr>
              <w:t>。</w:t>
            </w:r>
          </w:p>
          <w:p>
            <w:pPr>
              <w:pStyle w:val="2"/>
              <w:numPr>
                <w:ilvl w:val="0"/>
                <w:numId w:val="6"/>
              </w:numPr>
              <w:rPr>
                <w:rFonts w:hint="eastAsia"/>
                <w:lang w:eastAsia="zh-CN"/>
              </w:rPr>
            </w:pPr>
            <w:r>
              <w:rPr>
                <w:rFonts w:hint="eastAsia" w:ascii="宋体" w:hAnsi="宋体" w:cs="微软雅黑"/>
                <w:color w:val="000000"/>
                <w:sz w:val="21"/>
                <w:szCs w:val="21"/>
              </w:rPr>
              <w:t>提供了PDF的解析功能，根据用户的需求，自动获取有用的数据，进行归档、自动生成电生理报告，并把该报告</w:t>
            </w:r>
            <w:r>
              <w:rPr>
                <w:rFonts w:hint="eastAsia" w:ascii="宋体" w:hAnsi="宋体" w:cs="微软雅黑"/>
                <w:color w:val="000000"/>
                <w:sz w:val="21"/>
                <w:szCs w:val="21"/>
                <w:lang w:eastAsia="zh-CN"/>
              </w:rPr>
              <w:t>在</w:t>
            </w:r>
            <w:r>
              <w:rPr>
                <w:rFonts w:hint="eastAsia" w:ascii="宋体" w:hAnsi="宋体" w:cs="微软雅黑"/>
                <w:color w:val="000000"/>
                <w:sz w:val="21"/>
                <w:szCs w:val="21"/>
              </w:rPr>
              <w:t>院内共享。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restart"/>
            <w:noWrap w:val="0"/>
            <w:vAlign w:val="center"/>
          </w:tcPr>
          <w:p>
            <w:pPr>
              <w:spacing w:line="276" w:lineRule="auto"/>
              <w:jc w:val="center"/>
              <w:rPr>
                <w:rFonts w:hint="eastAsia" w:ascii="宋体" w:hAnsi="宋体" w:eastAsia="宋体"/>
                <w:b/>
                <w:bCs/>
                <w:sz w:val="24"/>
                <w:szCs w:val="24"/>
                <w:lang w:val="en-US" w:eastAsia="zh-CN"/>
              </w:rPr>
            </w:pPr>
            <w:r>
              <w:rPr>
                <w:rFonts w:hint="eastAsia" w:ascii="宋体" w:hAnsi="宋体"/>
                <w:b/>
                <w:bCs/>
                <w:sz w:val="24"/>
                <w:szCs w:val="24"/>
                <w:lang w:val="en-US" w:eastAsia="zh-CN"/>
              </w:rPr>
              <w:t>3</w:t>
            </w:r>
          </w:p>
        </w:tc>
        <w:tc>
          <w:tcPr>
            <w:tcW w:w="1110" w:type="dxa"/>
            <w:vMerge w:val="restart"/>
            <w:noWrap w:val="0"/>
            <w:vAlign w:val="center"/>
          </w:tcPr>
          <w:p>
            <w:pPr>
              <w:spacing w:line="276" w:lineRule="auto"/>
              <w:jc w:val="center"/>
              <w:rPr>
                <w:rFonts w:hint="eastAsia" w:ascii="宋体" w:hAnsi="宋体" w:cs="仿宋"/>
                <w:sz w:val="24"/>
                <w:szCs w:val="24"/>
              </w:rPr>
            </w:pPr>
            <w:r>
              <w:rPr>
                <w:rFonts w:hint="eastAsia" w:ascii="宋体" w:hAnsi="宋体"/>
                <w:b/>
                <w:bCs/>
                <w:sz w:val="24"/>
                <w:szCs w:val="24"/>
              </w:rPr>
              <w:t>诊断中心应用管理</w:t>
            </w:r>
          </w:p>
        </w:tc>
        <w:tc>
          <w:tcPr>
            <w:tcW w:w="1349" w:type="dxa"/>
            <w:noWrap w:val="0"/>
            <w:vAlign w:val="center"/>
          </w:tcPr>
          <w:p>
            <w:pPr>
              <w:spacing w:line="276" w:lineRule="auto"/>
              <w:jc w:val="left"/>
              <w:rPr>
                <w:rFonts w:hint="eastAsia" w:ascii="宋体" w:hAnsi="宋体" w:eastAsia="宋体" w:cs="仿宋"/>
                <w:b/>
                <w:bCs/>
                <w:sz w:val="21"/>
                <w:szCs w:val="21"/>
                <w:lang w:val="en-US" w:eastAsia="zh-CN"/>
              </w:rPr>
            </w:pPr>
            <w:r>
              <w:rPr>
                <w:rFonts w:hint="eastAsia" w:ascii="宋体" w:hAnsi="宋体" w:eastAsia="宋体" w:cs="仿宋"/>
                <w:b/>
                <w:bCs/>
                <w:sz w:val="21"/>
                <w:szCs w:val="21"/>
                <w:lang w:val="en-US" w:eastAsia="zh-CN"/>
              </w:rPr>
              <w:t>1、静息心电、</w:t>
            </w:r>
          </w:p>
          <w:p>
            <w:pPr>
              <w:spacing w:line="276" w:lineRule="auto"/>
              <w:jc w:val="left"/>
              <w:rPr>
                <w:rFonts w:hint="eastAsia" w:ascii="宋体" w:hAnsi="宋体" w:cs="宋体"/>
                <w:color w:val="000000"/>
                <w:kern w:val="0"/>
                <w:sz w:val="24"/>
                <w:szCs w:val="24"/>
              </w:rPr>
            </w:pPr>
            <w:r>
              <w:rPr>
                <w:rFonts w:hint="eastAsia" w:ascii="宋体" w:hAnsi="宋体" w:eastAsia="宋体" w:cs="仿宋"/>
                <w:b/>
                <w:bCs/>
                <w:sz w:val="21"/>
                <w:szCs w:val="21"/>
                <w:lang w:val="en-US" w:eastAsia="zh-CN"/>
              </w:rPr>
              <w:t>动态心电、动态血压综合分析模块、</w:t>
            </w:r>
          </w:p>
        </w:tc>
        <w:tc>
          <w:tcPr>
            <w:tcW w:w="5473" w:type="dxa"/>
            <w:noWrap w:val="0"/>
            <w:vAlign w:val="center"/>
          </w:tcPr>
          <w:p>
            <w:pPr>
              <w:widowControl/>
              <w:numPr>
                <w:ilvl w:val="0"/>
                <w:numId w:val="7"/>
              </w:numPr>
              <w:spacing w:line="276" w:lineRule="auto"/>
              <w:jc w:val="left"/>
              <w:rPr>
                <w:rFonts w:hint="eastAsia"/>
                <w:sz w:val="21"/>
                <w:szCs w:val="21"/>
              </w:rPr>
            </w:pPr>
            <w:r>
              <w:rPr>
                <w:rFonts w:hint="eastAsia"/>
                <w:sz w:val="21"/>
                <w:szCs w:val="21"/>
              </w:rPr>
              <w:t>支持三合一心电诊断中心，即心电、动态心电、动态血压通过三合一心电诊断工作站进行诊断管理：同一病人列表中同时显示静息心电、动态心电、动态血压三种不同检查类型的病历，双击不同检查类型病历进入相应的原始数据分析界面，真正实现三合一诊断中心建设。</w:t>
            </w:r>
          </w:p>
          <w:p>
            <w:pPr>
              <w:pStyle w:val="2"/>
              <w:numPr>
                <w:ilvl w:val="0"/>
                <w:numId w:val="7"/>
              </w:numPr>
              <w:rPr>
                <w:rFonts w:hint="eastAsia"/>
                <w:sz w:val="21"/>
                <w:szCs w:val="21"/>
              </w:rPr>
            </w:pPr>
            <w:r>
              <w:rPr>
                <w:rFonts w:hint="eastAsia" w:ascii="宋体" w:hAnsi="宋体" w:eastAsia="宋体" w:cs="微软雅黑"/>
                <w:color w:val="000000"/>
                <w:sz w:val="21"/>
                <w:szCs w:val="21"/>
              </w:rPr>
              <w:t>提供典型病例收藏功能，包括个人收藏及公开收藏。</w:t>
            </w:r>
          </w:p>
          <w:p>
            <w:pPr>
              <w:pStyle w:val="2"/>
              <w:numPr>
                <w:ilvl w:val="0"/>
                <w:numId w:val="7"/>
              </w:numPr>
              <w:rPr>
                <w:rFonts w:hint="eastAsia"/>
                <w:sz w:val="21"/>
                <w:szCs w:val="21"/>
              </w:rPr>
            </w:pPr>
            <w:r>
              <w:rPr>
                <w:rFonts w:hint="eastAsia" w:ascii="宋体" w:hAnsi="宋体" w:eastAsia="宋体" w:cs="微软雅黑"/>
                <w:color w:val="000000"/>
                <w:sz w:val="21"/>
                <w:szCs w:val="21"/>
              </w:rPr>
              <w:t>病例随访功能：专业的患者随访工具，不同的病种提供对应的随访模式，为心电图检查完成病人设置随访、预约随访功能，支持随访提醒及随访状态描述。</w:t>
            </w:r>
          </w:p>
          <w:p>
            <w:pPr>
              <w:pStyle w:val="2"/>
              <w:numPr>
                <w:ilvl w:val="0"/>
                <w:numId w:val="7"/>
              </w:numPr>
              <w:rPr>
                <w:rFonts w:hint="eastAsia"/>
                <w:sz w:val="21"/>
                <w:szCs w:val="21"/>
              </w:rPr>
            </w:pPr>
            <w:r>
              <w:rPr>
                <w:rFonts w:hint="eastAsia" w:ascii="宋体" w:hAnsi="宋体"/>
                <w:bCs/>
                <w:color w:val="000000"/>
                <w:sz w:val="21"/>
                <w:szCs w:val="21"/>
              </w:rPr>
              <w:t>支持动态心电图波形实时监测功能</w:t>
            </w:r>
            <w:r>
              <w:rPr>
                <w:rFonts w:hint="eastAsia" w:ascii="宋体" w:hAnsi="宋体"/>
                <w:bCs/>
                <w:color w:val="000000"/>
                <w:sz w:val="21"/>
                <w:szCs w:val="21"/>
                <w:lang w:eastAsia="zh-CN"/>
              </w:rPr>
              <w:t>。</w:t>
            </w:r>
          </w:p>
          <w:p>
            <w:pPr>
              <w:pStyle w:val="2"/>
              <w:numPr>
                <w:ilvl w:val="0"/>
                <w:numId w:val="7"/>
              </w:numPr>
              <w:rPr>
                <w:rFonts w:hint="eastAsia"/>
                <w:sz w:val="21"/>
                <w:szCs w:val="21"/>
              </w:rPr>
            </w:pPr>
            <w:r>
              <w:rPr>
                <w:rFonts w:hint="eastAsia" w:ascii="宋体" w:hAnsi="宋体"/>
                <w:bCs/>
                <w:color w:val="000000"/>
                <w:sz w:val="21"/>
                <w:szCs w:val="21"/>
              </w:rPr>
              <w:t>动态心电监测AI</w:t>
            </w:r>
            <w:r>
              <w:rPr>
                <w:rFonts w:ascii="宋体" w:hAnsi="宋体"/>
                <w:bCs/>
                <w:color w:val="000000"/>
                <w:sz w:val="21"/>
                <w:szCs w:val="21"/>
              </w:rPr>
              <w:t>报警功能：心律失常、心率超限等</w:t>
            </w:r>
            <w:r>
              <w:rPr>
                <w:rFonts w:hint="eastAsia" w:ascii="宋体" w:hAnsi="宋体"/>
                <w:bCs/>
                <w:color w:val="000000"/>
                <w:sz w:val="21"/>
                <w:szCs w:val="21"/>
              </w:rPr>
              <w:t>事件，通过AI算法，可</w:t>
            </w:r>
            <w:r>
              <w:rPr>
                <w:rFonts w:ascii="宋体" w:hAnsi="宋体"/>
                <w:bCs/>
                <w:color w:val="000000"/>
                <w:sz w:val="21"/>
                <w:szCs w:val="21"/>
              </w:rPr>
              <w:t>自动报警，</w:t>
            </w:r>
            <w:r>
              <w:rPr>
                <w:rFonts w:hint="eastAsia" w:ascii="宋体" w:hAnsi="宋体"/>
                <w:bCs/>
                <w:color w:val="000000"/>
                <w:sz w:val="21"/>
                <w:szCs w:val="21"/>
              </w:rPr>
              <w:t>提醒监测医生及时查看并进行干预</w:t>
            </w:r>
            <w:r>
              <w:rPr>
                <w:rFonts w:hint="eastAsia" w:ascii="宋体" w:hAnsi="宋体"/>
                <w:bCs/>
                <w:color w:val="000000"/>
                <w:sz w:val="21"/>
                <w:szCs w:val="21"/>
                <w:lang w:eastAsia="zh-CN"/>
              </w:rPr>
              <w:t>。</w:t>
            </w:r>
          </w:p>
          <w:p>
            <w:pPr>
              <w:pStyle w:val="2"/>
              <w:numPr>
                <w:ilvl w:val="0"/>
                <w:numId w:val="7"/>
              </w:numPr>
              <w:rPr>
                <w:rFonts w:hint="eastAsia"/>
                <w:sz w:val="21"/>
                <w:szCs w:val="21"/>
              </w:rPr>
            </w:pPr>
            <w:r>
              <w:rPr>
                <w:rFonts w:ascii="宋体" w:hAnsi="宋体"/>
                <w:bCs/>
                <w:color w:val="000000"/>
                <w:sz w:val="21"/>
                <w:szCs w:val="21"/>
              </w:rPr>
              <w:t>实时监测的心电波形，可通过专业动态心电分析软件进行分析，生成动态心电报告</w:t>
            </w:r>
            <w:r>
              <w:rPr>
                <w:rFonts w:hint="eastAsia" w:ascii="宋体" w:hAnsi="宋体"/>
                <w:bCs/>
                <w:color w:val="000000"/>
                <w:sz w:val="21"/>
                <w:szCs w:val="21"/>
                <w:lang w:eastAsia="zh-CN"/>
              </w:rPr>
              <w:t>。</w:t>
            </w:r>
          </w:p>
          <w:p>
            <w:pPr>
              <w:pStyle w:val="2"/>
              <w:numPr>
                <w:ilvl w:val="0"/>
                <w:numId w:val="7"/>
              </w:numPr>
              <w:rPr>
                <w:rFonts w:hint="eastAsia"/>
                <w:sz w:val="21"/>
                <w:szCs w:val="21"/>
              </w:rPr>
            </w:pPr>
            <w:r>
              <w:rPr>
                <w:rFonts w:hint="eastAsia" w:ascii="宋体" w:hAnsi="宋体"/>
                <w:bCs/>
                <w:color w:val="000000"/>
                <w:sz w:val="21"/>
                <w:szCs w:val="21"/>
              </w:rPr>
              <w:t>提供多种分析工具：</w:t>
            </w:r>
            <w:r>
              <w:rPr>
                <w:rFonts w:ascii="宋体" w:hAnsi="宋体"/>
                <w:bCs/>
                <w:color w:val="000000"/>
                <w:sz w:val="21"/>
                <w:szCs w:val="21"/>
              </w:rPr>
              <w:t>K线图、直方图、散点图、栅状图、事件图、波形全览图。使用者根据自身习惯灵活设置、自由组合分析工具栏。</w:t>
            </w:r>
          </w:p>
          <w:p>
            <w:pPr>
              <w:pStyle w:val="2"/>
              <w:numPr>
                <w:ilvl w:val="0"/>
                <w:numId w:val="7"/>
              </w:numPr>
              <w:rPr>
                <w:rFonts w:hint="eastAsia"/>
                <w:sz w:val="21"/>
                <w:szCs w:val="21"/>
              </w:rPr>
            </w:pPr>
            <w:r>
              <w:rPr>
                <w:rFonts w:hint="eastAsia" w:ascii="宋体" w:hAnsi="宋体"/>
                <w:bCs/>
                <w:color w:val="000000"/>
                <w:sz w:val="21"/>
                <w:szCs w:val="21"/>
              </w:rPr>
              <w:t>提供差分栅状图功能，快速捕捉及定位偶发心率失常。</w:t>
            </w:r>
          </w:p>
          <w:p>
            <w:pPr>
              <w:pStyle w:val="2"/>
              <w:numPr>
                <w:ilvl w:val="0"/>
                <w:numId w:val="7"/>
              </w:numPr>
              <w:rPr>
                <w:rFonts w:hint="eastAsia"/>
                <w:sz w:val="21"/>
                <w:szCs w:val="21"/>
              </w:rPr>
            </w:pPr>
            <w:r>
              <w:rPr>
                <w:rFonts w:hint="eastAsia" w:ascii="宋体" w:hAnsi="宋体"/>
                <w:bCs/>
                <w:color w:val="000000"/>
                <w:sz w:val="21"/>
                <w:szCs w:val="21"/>
              </w:rPr>
              <w:t>动态心电图分析工具智能联动：</w:t>
            </w:r>
            <w:r>
              <w:rPr>
                <w:rFonts w:ascii="宋体" w:hAnsi="宋体"/>
                <w:bCs/>
                <w:color w:val="000000"/>
                <w:sz w:val="21"/>
                <w:szCs w:val="21"/>
              </w:rPr>
              <w:t>K线图、直方图、散点图、栅状图、事件图、波形全览图等工具全部自动联动，在任意一个工具中调节波形或数据，其他工具实时随之联动。</w:t>
            </w:r>
          </w:p>
          <w:p>
            <w:pPr>
              <w:pStyle w:val="2"/>
              <w:numPr>
                <w:ilvl w:val="0"/>
                <w:numId w:val="7"/>
              </w:numPr>
              <w:rPr>
                <w:rFonts w:hint="eastAsia"/>
              </w:rPr>
            </w:pPr>
            <w:r>
              <w:rPr>
                <w:rFonts w:hint="eastAsia" w:ascii="宋体" w:hAnsi="宋体"/>
                <w:bCs/>
                <w:color w:val="000000"/>
                <w:sz w:val="21"/>
                <w:szCs w:val="21"/>
              </w:rPr>
              <w:t>具有时间散点图、小时散点图、洛伦兹散点图、差值散点图、四象限散点图五项散点图功能。任意圈选散点进行心搏修改，散点图可进行放大操作</w:t>
            </w:r>
            <w:r>
              <w:rPr>
                <w:rFonts w:hint="eastAsia" w:ascii="宋体" w:hAnsi="宋体"/>
                <w:bCs/>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numPr>
                <w:ilvl w:val="0"/>
                <w:numId w:val="0"/>
              </w:numPr>
              <w:spacing w:line="276" w:lineRule="auto"/>
              <w:ind w:leftChars="0"/>
              <w:jc w:val="center"/>
              <w:rPr>
                <w:rFonts w:hint="default" w:ascii="宋体" w:hAnsi="宋体" w:eastAsia="宋体" w:cs="仿宋"/>
                <w:sz w:val="24"/>
                <w:szCs w:val="24"/>
                <w:lang w:val="en-US" w:eastAsia="zh-CN"/>
              </w:rPr>
            </w:pPr>
          </w:p>
        </w:tc>
        <w:tc>
          <w:tcPr>
            <w:tcW w:w="1110" w:type="dxa"/>
            <w:vMerge w:val="continue"/>
            <w:noWrap w:val="0"/>
            <w:vAlign w:val="center"/>
          </w:tcPr>
          <w:p>
            <w:pPr>
              <w:widowControl/>
              <w:numPr>
                <w:ilvl w:val="0"/>
                <w:numId w:val="0"/>
              </w:numPr>
              <w:spacing w:line="276" w:lineRule="auto"/>
              <w:ind w:leftChars="0"/>
              <w:jc w:val="center"/>
              <w:rPr>
                <w:rFonts w:hint="default" w:ascii="宋体" w:hAnsi="宋体" w:eastAsia="宋体" w:cs="仿宋"/>
                <w:sz w:val="24"/>
                <w:szCs w:val="24"/>
                <w:lang w:val="en-US" w:eastAsia="zh-CN"/>
              </w:rPr>
            </w:pPr>
          </w:p>
        </w:tc>
        <w:tc>
          <w:tcPr>
            <w:tcW w:w="1349" w:type="dxa"/>
            <w:noWrap w:val="0"/>
            <w:vAlign w:val="center"/>
          </w:tcPr>
          <w:p>
            <w:pPr>
              <w:spacing w:line="276" w:lineRule="auto"/>
              <w:jc w:val="left"/>
              <w:rPr>
                <w:rFonts w:hint="eastAsia" w:ascii="宋体" w:hAnsi="宋体" w:cs="宋体"/>
                <w:color w:val="000000"/>
                <w:kern w:val="0"/>
                <w:sz w:val="24"/>
                <w:szCs w:val="24"/>
              </w:rPr>
            </w:pPr>
            <w:r>
              <w:rPr>
                <w:rFonts w:hint="eastAsia" w:ascii="宋体" w:hAnsi="宋体" w:eastAsia="宋体" w:cs="仿宋"/>
                <w:b/>
                <w:bCs/>
                <w:sz w:val="21"/>
                <w:szCs w:val="21"/>
                <w:lang w:val="en-US" w:eastAsia="zh-CN"/>
              </w:rPr>
              <w:t>2统计管理模块</w:t>
            </w:r>
          </w:p>
        </w:tc>
        <w:tc>
          <w:tcPr>
            <w:tcW w:w="5473" w:type="dxa"/>
            <w:noWrap w:val="0"/>
            <w:vAlign w:val="center"/>
          </w:tcPr>
          <w:p>
            <w:pPr>
              <w:widowControl/>
              <w:numPr>
                <w:ilvl w:val="0"/>
                <w:numId w:val="8"/>
              </w:numPr>
              <w:spacing w:line="276" w:lineRule="auto"/>
              <w:jc w:val="left"/>
              <w:rPr>
                <w:rFonts w:hint="eastAsia"/>
              </w:rPr>
            </w:pPr>
            <w:r>
              <w:rPr>
                <w:rFonts w:hint="eastAsia"/>
              </w:rPr>
              <w:t>提供数据挖掘系统，可以对每日工作量、报告阳性率、会诊中心工作量、疾病分类统计、患者流量分析等进行报表跟图标统计，并支持打印导出功能。</w:t>
            </w:r>
          </w:p>
          <w:p>
            <w:pPr>
              <w:widowControl/>
              <w:numPr>
                <w:ilvl w:val="0"/>
                <w:numId w:val="0"/>
              </w:numPr>
              <w:spacing w:line="276" w:lineRule="auto"/>
              <w:jc w:val="left"/>
              <w:rPr>
                <w:rFonts w:hint="eastAsia"/>
              </w:rPr>
            </w:pPr>
            <w:r>
              <w:rPr>
                <w:rFonts w:hint="eastAsia"/>
                <w:lang w:val="en-US" w:eastAsia="zh-CN"/>
              </w:rPr>
              <w:t>2、</w:t>
            </w:r>
            <w:r>
              <w:rPr>
                <w:rFonts w:hint="eastAsia"/>
              </w:rPr>
              <w:t>应采用开放式结构设计，患者的所有信息，包括检查信息都可以作为统计条件，方便未来的功能扩展。统计模板为开放设置，可以自行设置需要统计的条件。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10" w:type="dxa"/>
            <w:vMerge w:val="continue"/>
            <w:noWrap w:val="0"/>
            <w:vAlign w:val="center"/>
          </w:tcPr>
          <w:p>
            <w:pPr>
              <w:widowControl/>
              <w:spacing w:line="276" w:lineRule="auto"/>
              <w:jc w:val="left"/>
              <w:rPr>
                <w:rFonts w:hint="eastAsia" w:ascii="宋体" w:hAnsi="宋体" w:cs="仿宋"/>
                <w:sz w:val="24"/>
                <w:szCs w:val="24"/>
              </w:rPr>
            </w:pPr>
          </w:p>
        </w:tc>
        <w:tc>
          <w:tcPr>
            <w:tcW w:w="1110" w:type="dxa"/>
            <w:vMerge w:val="continue"/>
            <w:noWrap w:val="0"/>
            <w:vAlign w:val="center"/>
          </w:tcPr>
          <w:p>
            <w:pPr>
              <w:widowControl/>
              <w:spacing w:line="276" w:lineRule="auto"/>
              <w:jc w:val="left"/>
              <w:rPr>
                <w:rFonts w:hint="eastAsia" w:ascii="宋体" w:hAnsi="宋体" w:cs="仿宋"/>
                <w:sz w:val="24"/>
                <w:szCs w:val="24"/>
              </w:rPr>
            </w:pPr>
          </w:p>
        </w:tc>
        <w:tc>
          <w:tcPr>
            <w:tcW w:w="1349" w:type="dxa"/>
            <w:noWrap w:val="0"/>
            <w:vAlign w:val="center"/>
          </w:tcPr>
          <w:p>
            <w:pPr>
              <w:widowControl/>
              <w:numPr>
                <w:ilvl w:val="0"/>
                <w:numId w:val="0"/>
              </w:numPr>
              <w:spacing w:line="276" w:lineRule="auto"/>
              <w:ind w:leftChars="0"/>
              <w:jc w:val="left"/>
              <w:rPr>
                <w:rFonts w:hint="eastAsia" w:ascii="宋体" w:hAnsi="宋体" w:cs="宋体"/>
                <w:strike/>
                <w:color w:val="000000"/>
                <w:kern w:val="0"/>
                <w:sz w:val="24"/>
                <w:szCs w:val="24"/>
              </w:rPr>
            </w:pPr>
            <w:r>
              <w:rPr>
                <w:rFonts w:hint="eastAsia" w:ascii="宋体" w:hAnsi="宋体" w:cs="仿宋"/>
                <w:b/>
                <w:bCs/>
                <w:sz w:val="21"/>
                <w:szCs w:val="21"/>
                <w:lang w:val="en-US" w:eastAsia="zh-CN"/>
              </w:rPr>
              <w:t>3</w:t>
            </w:r>
            <w:r>
              <w:rPr>
                <w:rFonts w:hint="eastAsia" w:ascii="宋体" w:hAnsi="宋体" w:eastAsia="宋体" w:cs="仿宋"/>
                <w:b/>
                <w:bCs/>
                <w:sz w:val="21"/>
                <w:szCs w:val="21"/>
                <w:lang w:val="en-US" w:eastAsia="zh-CN"/>
              </w:rPr>
              <w:t>危急值管理模块</w:t>
            </w:r>
          </w:p>
        </w:tc>
        <w:tc>
          <w:tcPr>
            <w:tcW w:w="5473" w:type="dxa"/>
            <w:noWrap w:val="0"/>
            <w:vAlign w:val="center"/>
          </w:tcPr>
          <w:p>
            <w:pPr>
              <w:widowControl/>
              <w:numPr>
                <w:ilvl w:val="0"/>
                <w:numId w:val="0"/>
              </w:numPr>
              <w:spacing w:line="276" w:lineRule="auto"/>
              <w:jc w:val="left"/>
              <w:rPr>
                <w:rFonts w:hint="eastAsia"/>
              </w:rPr>
            </w:pPr>
            <w:r>
              <w:rPr>
                <w:rFonts w:hint="eastAsia"/>
                <w:lang w:val="en-US" w:eastAsia="zh-CN"/>
              </w:rPr>
              <w:t>1、</w:t>
            </w:r>
            <w:r>
              <w:rPr>
                <w:rFonts w:hint="eastAsia"/>
              </w:rPr>
              <w:t>危急值管理：所有心电检查数据传输至系统之后，</w:t>
            </w:r>
            <w:r>
              <w:rPr>
                <w:rFonts w:hint="eastAsia"/>
                <w:lang w:eastAsia="zh-CN"/>
              </w:rPr>
              <w:t>如是危急值的患者，可以</w:t>
            </w:r>
            <w:r>
              <w:rPr>
                <w:rFonts w:hint="eastAsia"/>
              </w:rPr>
              <w:t>心电诊断工作站中自动提示</w:t>
            </w:r>
            <w:r>
              <w:rPr>
                <w:rFonts w:hint="eastAsia"/>
                <w:lang w:eastAsia="zh-CN"/>
              </w:rPr>
              <w:t>，同时可以弹窗或者声音提醒等方式提醒临床科室</w:t>
            </w:r>
            <w:r>
              <w:rPr>
                <w:rFonts w:hint="eastAsia"/>
              </w:rPr>
              <w:t>。</w:t>
            </w:r>
          </w:p>
          <w:p>
            <w:pPr>
              <w:widowControl/>
              <w:numPr>
                <w:ilvl w:val="0"/>
                <w:numId w:val="0"/>
              </w:numPr>
              <w:spacing w:line="276" w:lineRule="auto"/>
              <w:jc w:val="left"/>
              <w:rPr>
                <w:rFonts w:hint="eastAsia"/>
              </w:rPr>
            </w:pPr>
            <w:r>
              <w:rPr>
                <w:rFonts w:hint="eastAsia"/>
                <w:lang w:val="en-US" w:eastAsia="zh-CN"/>
              </w:rPr>
              <w:t>2、</w:t>
            </w:r>
            <w:r>
              <w:rPr>
                <w:rFonts w:hint="eastAsia"/>
              </w:rPr>
              <w:t>能提供标准的危急值接口给院内统一的危急值管理平台。</w:t>
            </w:r>
          </w:p>
        </w:tc>
      </w:tr>
    </w:tbl>
    <w:p>
      <w:pPr>
        <w:pStyle w:val="2"/>
        <w:rPr>
          <w:rFonts w:hint="eastAsia"/>
          <w:color w:val="auto"/>
          <w:lang w:val="en-US" w:eastAsia="zh-CN"/>
        </w:rPr>
      </w:pP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三、对接口及系统改造的要求</w:t>
      </w:r>
    </w:p>
    <w:p>
      <w:pPr>
        <w:spacing w:line="312" w:lineRule="auto"/>
        <w:rPr>
          <w:rFonts w:hint="eastAsia" w:ascii="宋体" w:hAnsi="宋体" w:eastAsiaTheme="minorEastAsia"/>
          <w:b/>
          <w:bCs/>
          <w:color w:val="auto"/>
          <w:sz w:val="24"/>
          <w:szCs w:val="24"/>
          <w:lang w:eastAsia="zh-CN"/>
        </w:rPr>
      </w:pPr>
      <w:r>
        <w:rPr>
          <w:rFonts w:hint="eastAsia" w:ascii="宋体" w:hAnsi="宋体"/>
          <w:b/>
          <w:bCs/>
          <w:color w:val="auto"/>
          <w:sz w:val="24"/>
          <w:szCs w:val="24"/>
          <w:lang w:val="en-US" w:eastAsia="zh-CN"/>
        </w:rPr>
        <w:tab/>
      </w:r>
      <w:r>
        <w:rPr>
          <w:rFonts w:hint="eastAsia" w:ascii="宋体" w:hAnsi="宋体"/>
          <w:b/>
          <w:bCs/>
          <w:color w:val="auto"/>
          <w:sz w:val="24"/>
          <w:szCs w:val="24"/>
        </w:rPr>
        <w:t>维保期和续保期内免费实现以下要求</w:t>
      </w:r>
      <w:r>
        <w:rPr>
          <w:rFonts w:hint="eastAsia" w:ascii="宋体" w:hAnsi="宋体"/>
          <w:b/>
          <w:bCs/>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cs="微软雅黑"/>
          <w:color w:val="auto"/>
          <w:sz w:val="24"/>
          <w:szCs w:val="24"/>
          <w:lang w:val="en-US" w:eastAsia="zh-CN"/>
        </w:rPr>
        <w:t>提供全面的接口技术，与第三方系统共享数据和功能，这些接口技术包括中间件技术接口、WEBSEVICE通用接口、数据库级接口、文件文本接口等</w:t>
      </w:r>
      <w:r>
        <w:rPr>
          <w:rFonts w:hint="eastAsia" w:ascii="宋体" w:hAnsi="宋体" w:eastAsia="宋体"/>
          <w:b w:val="0"/>
          <w:bCs/>
          <w:color w:val="auto"/>
          <w:sz w:val="24"/>
          <w:szCs w:val="24"/>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微软雅黑"/>
          <w:color w:val="auto"/>
          <w:sz w:val="24"/>
          <w:szCs w:val="24"/>
          <w:lang w:val="en-US" w:eastAsia="zh-CN"/>
        </w:rPr>
      </w:pPr>
      <w:r>
        <w:rPr>
          <w:rFonts w:hint="eastAsia" w:ascii="宋体" w:hAnsi="宋体" w:eastAsia="宋体"/>
          <w:b w:val="0"/>
          <w:bCs/>
          <w:color w:val="auto"/>
          <w:sz w:val="24"/>
          <w:szCs w:val="24"/>
          <w:lang w:val="en-US" w:eastAsia="zh-CN"/>
        </w:rPr>
        <w:t>3.1</w:t>
      </w:r>
      <w:r>
        <w:rPr>
          <w:rFonts w:hint="eastAsia" w:ascii="宋体" w:hAnsi="宋体" w:eastAsia="宋体" w:cs="微软雅黑"/>
          <w:color w:val="auto"/>
          <w:sz w:val="24"/>
          <w:szCs w:val="24"/>
          <w:lang w:val="en-US" w:eastAsia="zh-CN"/>
        </w:rPr>
        <w:t>提供与医院第三方系统统一接口的维护与管理，与HIS、电子病历、LIS、PACS、预约系统、心电系统、体检系统、集成平台、成本管理系统、排班系统、人事管理系统、财务管理系统、互联网医院、OA系统、自助服务平台、DRG管理、绩效管理、电子发票、短信平台、财务电子档案等其他所有医院相关业务系统（包括以上医院系统但不仅限于以上系统）进行免费接口对接，实现数据交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微软雅黑"/>
          <w:color w:val="auto"/>
          <w:sz w:val="24"/>
          <w:szCs w:val="24"/>
          <w:lang w:eastAsia="zh-CN"/>
        </w:rPr>
      </w:pPr>
      <w:r>
        <w:rPr>
          <w:rFonts w:hint="eastAsia" w:ascii="宋体" w:hAnsi="宋体" w:eastAsia="宋体"/>
          <w:b w:val="0"/>
          <w:bCs/>
          <w:color w:val="auto"/>
          <w:sz w:val="24"/>
          <w:szCs w:val="24"/>
          <w:lang w:val="en-US" w:eastAsia="zh-CN"/>
        </w:rPr>
        <w:t>3.2</w:t>
      </w:r>
      <w:r>
        <w:rPr>
          <w:rFonts w:hint="eastAsia" w:ascii="宋体" w:hAnsi="宋体" w:eastAsia="宋体" w:cs="微软雅黑"/>
          <w:color w:val="auto"/>
          <w:sz w:val="24"/>
          <w:szCs w:val="24"/>
        </w:rPr>
        <w:t>医院新增业务信息系统的对接</w:t>
      </w:r>
      <w:r>
        <w:rPr>
          <w:rFonts w:hint="eastAsia" w:ascii="宋体" w:hAnsi="宋体" w:eastAsia="宋体" w:cs="微软雅黑"/>
          <w:color w:val="auto"/>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3.3</w:t>
      </w:r>
      <w:r>
        <w:rPr>
          <w:rFonts w:hint="eastAsia" w:ascii="宋体" w:hAnsi="宋体" w:eastAsia="宋体" w:cs="微软雅黑"/>
          <w:color w:val="auto"/>
          <w:sz w:val="24"/>
          <w:szCs w:val="24"/>
        </w:rPr>
        <w:t>满足医院电子病历系统功能应用水平分级评价达到</w:t>
      </w:r>
      <w:r>
        <w:rPr>
          <w:rFonts w:hint="eastAsia" w:ascii="宋体" w:hAnsi="宋体" w:eastAsia="宋体" w:cs="微软雅黑"/>
          <w:color w:val="auto"/>
          <w:sz w:val="24"/>
          <w:szCs w:val="24"/>
          <w:lang w:eastAsia="zh-CN"/>
        </w:rPr>
        <w:t>六</w:t>
      </w:r>
      <w:r>
        <w:rPr>
          <w:rFonts w:hint="eastAsia" w:ascii="宋体" w:hAnsi="宋体" w:eastAsia="宋体" w:cs="微软雅黑"/>
          <w:color w:val="auto"/>
          <w:sz w:val="24"/>
          <w:szCs w:val="24"/>
        </w:rPr>
        <w:t>级以上评审、医院信息互联互通标准化成熟度测评达到</w:t>
      </w:r>
      <w:r>
        <w:rPr>
          <w:rFonts w:hint="eastAsia" w:ascii="宋体" w:hAnsi="宋体" w:eastAsia="宋体" w:cs="微软雅黑"/>
          <w:color w:val="auto"/>
          <w:sz w:val="24"/>
          <w:szCs w:val="24"/>
          <w:lang w:eastAsia="zh-CN"/>
        </w:rPr>
        <w:t>五</w:t>
      </w:r>
      <w:r>
        <w:rPr>
          <w:rFonts w:hint="eastAsia" w:ascii="宋体" w:hAnsi="宋体" w:eastAsia="宋体" w:cs="微软雅黑"/>
          <w:color w:val="auto"/>
          <w:sz w:val="24"/>
          <w:szCs w:val="24"/>
        </w:rPr>
        <w:t>级</w:t>
      </w:r>
      <w:r>
        <w:rPr>
          <w:rFonts w:hint="eastAsia" w:ascii="宋体" w:hAnsi="宋体" w:eastAsia="宋体" w:cs="微软雅黑"/>
          <w:color w:val="auto"/>
          <w:sz w:val="24"/>
          <w:szCs w:val="24"/>
          <w:lang w:eastAsia="zh-CN"/>
        </w:rPr>
        <w:t>乙</w:t>
      </w:r>
      <w:r>
        <w:rPr>
          <w:rFonts w:hint="eastAsia" w:ascii="宋体" w:hAnsi="宋体" w:eastAsia="宋体" w:cs="微软雅黑"/>
          <w:color w:val="auto"/>
          <w:sz w:val="24"/>
          <w:szCs w:val="24"/>
        </w:rPr>
        <w:t>等水平评审、信息系统安全等级保护三级、三甲医院评审、医院智慧服务分级评估标准体系达到</w:t>
      </w:r>
      <w:r>
        <w:rPr>
          <w:rFonts w:hint="eastAsia" w:ascii="宋体" w:hAnsi="宋体" w:eastAsia="宋体" w:cs="微软雅黑"/>
          <w:color w:val="auto"/>
          <w:sz w:val="24"/>
          <w:szCs w:val="24"/>
          <w:lang w:eastAsia="zh-CN"/>
        </w:rPr>
        <w:t>四</w:t>
      </w:r>
      <w:r>
        <w:rPr>
          <w:rFonts w:hint="eastAsia" w:ascii="宋体" w:hAnsi="宋体" w:eastAsia="宋体" w:cs="微软雅黑"/>
          <w:color w:val="auto"/>
          <w:sz w:val="24"/>
          <w:szCs w:val="24"/>
        </w:rPr>
        <w:t>级相关功能要求</w:t>
      </w:r>
      <w:r>
        <w:rPr>
          <w:rFonts w:hint="eastAsia" w:ascii="宋体" w:hAnsi="宋体" w:eastAsia="宋体" w:cs="微软雅黑"/>
          <w:color w:val="auto"/>
          <w:sz w:val="24"/>
          <w:szCs w:val="24"/>
          <w:lang w:eastAsia="zh-CN"/>
        </w:rPr>
        <w:t>、</w:t>
      </w:r>
      <w:r>
        <w:rPr>
          <w:rFonts w:hint="eastAsia" w:ascii="宋体" w:hAnsi="宋体" w:eastAsia="宋体" w:cs="微软雅黑"/>
          <w:color w:val="auto"/>
          <w:sz w:val="24"/>
          <w:szCs w:val="24"/>
        </w:rPr>
        <w:t>医院智慧</w:t>
      </w:r>
      <w:r>
        <w:rPr>
          <w:rFonts w:hint="eastAsia" w:ascii="宋体" w:hAnsi="宋体" w:eastAsia="宋体" w:cs="微软雅黑"/>
          <w:color w:val="auto"/>
          <w:sz w:val="24"/>
          <w:szCs w:val="24"/>
          <w:lang w:eastAsia="zh-CN"/>
        </w:rPr>
        <w:t>管理</w:t>
      </w:r>
      <w:r>
        <w:rPr>
          <w:rFonts w:hint="eastAsia" w:ascii="宋体" w:hAnsi="宋体" w:eastAsia="宋体" w:cs="微软雅黑"/>
          <w:color w:val="auto"/>
          <w:sz w:val="24"/>
          <w:szCs w:val="24"/>
        </w:rPr>
        <w:t>分级评估标准体系达到</w:t>
      </w:r>
      <w:r>
        <w:rPr>
          <w:rFonts w:hint="eastAsia" w:ascii="宋体" w:hAnsi="宋体" w:eastAsia="宋体" w:cs="微软雅黑"/>
          <w:color w:val="auto"/>
          <w:sz w:val="24"/>
          <w:szCs w:val="24"/>
          <w:lang w:eastAsia="zh-CN"/>
        </w:rPr>
        <w:t>四</w:t>
      </w:r>
      <w:r>
        <w:rPr>
          <w:rFonts w:hint="eastAsia" w:ascii="宋体" w:hAnsi="宋体" w:eastAsia="宋体" w:cs="微软雅黑"/>
          <w:color w:val="auto"/>
          <w:sz w:val="24"/>
          <w:szCs w:val="24"/>
        </w:rPr>
        <w:t>级相关功能要求</w:t>
      </w:r>
      <w:r>
        <w:rPr>
          <w:rFonts w:hint="eastAsia" w:ascii="宋体" w:hAnsi="宋体" w:eastAsia="宋体" w:cs="微软雅黑"/>
          <w:color w:val="auto"/>
          <w:sz w:val="24"/>
          <w:szCs w:val="24"/>
          <w:lang w:eastAsia="zh-CN"/>
        </w:rPr>
        <w:t>、网络攻防演练中的要求</w:t>
      </w:r>
      <w:r>
        <w:rPr>
          <w:rFonts w:hint="eastAsia" w:ascii="宋体" w:hAnsi="宋体" w:eastAsia="宋体" w:cs="微软雅黑"/>
          <w:color w:val="auto"/>
          <w:sz w:val="24"/>
          <w:szCs w:val="24"/>
        </w:rPr>
        <w:t>以及医院其他需要评审的信息化技术改造服务</w:t>
      </w:r>
      <w:r>
        <w:rPr>
          <w:rFonts w:hint="eastAsia" w:ascii="宋体" w:hAnsi="宋体" w:eastAsia="宋体"/>
          <w:b w:val="0"/>
          <w:bCs/>
          <w:color w:val="auto"/>
          <w:sz w:val="24"/>
          <w:szCs w:val="24"/>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3.4</w:t>
      </w:r>
      <w:r>
        <w:rPr>
          <w:rFonts w:hint="eastAsia" w:ascii="宋体" w:hAnsi="宋体" w:eastAsia="宋体" w:cs="微软雅黑"/>
          <w:color w:val="auto"/>
          <w:sz w:val="24"/>
          <w:szCs w:val="24"/>
        </w:rPr>
        <w:t>提供软件免费升级及个性化修改服务，免费实现</w:t>
      </w:r>
      <w:r>
        <w:rPr>
          <w:rFonts w:hint="eastAsia" w:ascii="宋体" w:hAnsi="宋体" w:eastAsia="宋体" w:cs="微软雅黑"/>
          <w:color w:val="auto"/>
          <w:sz w:val="24"/>
          <w:szCs w:val="24"/>
          <w:lang w:eastAsia="zh-CN"/>
        </w:rPr>
        <w:t>院</w:t>
      </w:r>
      <w:r>
        <w:rPr>
          <w:rFonts w:hint="eastAsia" w:ascii="宋体" w:hAnsi="宋体" w:eastAsia="宋体" w:cs="微软雅黑"/>
          <w:color w:val="auto"/>
          <w:sz w:val="24"/>
          <w:szCs w:val="24"/>
        </w:rPr>
        <w:t>方的个性化需求；软件自身错误类问题提供永久性免费修改服务</w:t>
      </w:r>
      <w:r>
        <w:rPr>
          <w:rFonts w:hint="eastAsia" w:ascii="宋体" w:hAnsi="宋体" w:eastAsia="宋体"/>
          <w:b w:val="0"/>
          <w:bCs/>
          <w:color w:val="auto"/>
          <w:sz w:val="24"/>
          <w:szCs w:val="24"/>
          <w:lang w:val="en-US" w:eastAsia="zh-CN"/>
        </w:rPr>
        <w:t>。</w:t>
      </w:r>
    </w:p>
    <w:p>
      <w:pPr>
        <w:ind w:firstLine="480" w:firstLineChars="200"/>
        <w:jc w:val="left"/>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3.5</w:t>
      </w:r>
      <w:r>
        <w:rPr>
          <w:rFonts w:hint="eastAsia" w:ascii="宋体" w:hAnsi="宋体" w:eastAsia="宋体" w:cs="微软雅黑"/>
          <w:color w:val="auto"/>
          <w:sz w:val="24"/>
          <w:szCs w:val="24"/>
        </w:rPr>
        <w:t>免费实现医院上级管理部门要求的系统接口对接要求。</w:t>
      </w: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四、项目实施要求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4.1驻场、实施工期要求：合同签订后，7个工作日内项目实施人员必须进场，1个月内完成项目实施上线。</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4.2人员要求：项目实施人员需有2年以上同等项目实施经验，项目实施期间，驻场实施人员不得少于1名；如需更换驻场实施人员，需提交书面申请，经院方同意才可更换。项目开发工程师必须有两年以上同类型项目开发经验，开发工程师驻场时间不得低于7个工作日。投标公司实施人员、计划、方案等须经我院方认可才可实施。</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b w:val="0"/>
          <w:bCs/>
          <w:color w:val="auto"/>
          <w:sz w:val="24"/>
          <w:szCs w:val="24"/>
          <w:lang w:val="en-US" w:eastAsia="zh-CN"/>
        </w:rPr>
      </w:pP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五、售后服务及其他要求</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5.1自本项目整体最终验收之日起，所有产品要求提供三年的维保服务。含软硬件维护和系统软件升级、技术支持服务、系统管理及操作培训，免费提供系统个性化修改需求。请详细说明售后服务的内容和维保方案以及维保期后续保方案及费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5.2安装调试要求：免费送货上门、安装调试、提供完善的设备及软件系统使用中文操作手册、系统配置、功能配置、设备配置及互联记录。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5.3原厂技术人员免费提供售后服务，含电话支持、现场响应、远程操作、网上客服中心等多种方式服务，应做到7×24小时全天候电话或微信等常用联系方式响应。</w:t>
      </w:r>
      <w:bookmarkStart w:id="1" w:name="_Toc507405798"/>
      <w:r>
        <w:rPr>
          <w:rFonts w:hint="eastAsia" w:ascii="宋体" w:hAnsi="宋体" w:eastAsia="宋体"/>
          <w:b w:val="0"/>
          <w:bCs/>
          <w:color w:val="auto"/>
          <w:sz w:val="24"/>
          <w:szCs w:val="24"/>
          <w:lang w:val="en-US" w:eastAsia="zh-CN"/>
        </w:rPr>
        <w:t>当出现故障时，接到故障通知后，原厂技术人员应在30分钟内响应，远程技术支持无法解决的，6小时内需到达现场处理修复，并调查分析事故原因，如现场仍不能解决问题，需24小时内免费提供同档次或更高档次的备用设备解决问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5.4供应商提供原厂技术人员定期回访服务，定期通过电话或其他方式访问用户，了解产品使用情况及网络安全情况，须在每季度第一个月进行一次现场巡检，并形成书面巡检服务报告，加盖有效公章并反馈给我院。</w:t>
      </w:r>
    </w:p>
    <w:p>
      <w:pPr>
        <w:pStyle w:val="3"/>
        <w:numPr>
          <w:ilvl w:val="0"/>
          <w:numId w:val="0"/>
        </w:numPr>
        <w:spacing w:before="312" w:beforeLines="100" w:line="360" w:lineRule="auto"/>
        <w:ind w:leftChars="0"/>
        <w:jc w:val="both"/>
        <w:rPr>
          <w:rFonts w:hint="eastAsia" w:ascii="宋体" w:hAnsi="宋体"/>
          <w:b/>
          <w:bCs w:val="0"/>
          <w:color w:val="auto"/>
          <w:sz w:val="32"/>
          <w:szCs w:val="32"/>
        </w:rPr>
      </w:pPr>
      <w:r>
        <w:rPr>
          <w:rFonts w:hint="eastAsia" w:ascii="宋体" w:hAnsi="宋体"/>
          <w:b/>
          <w:bCs w:val="0"/>
          <w:color w:val="auto"/>
          <w:sz w:val="32"/>
          <w:szCs w:val="32"/>
          <w:lang w:val="en-US" w:eastAsia="zh-CN"/>
        </w:rPr>
        <w:t>六、</w:t>
      </w:r>
      <w:r>
        <w:rPr>
          <w:rFonts w:hint="eastAsia" w:ascii="宋体" w:hAnsi="宋体"/>
          <w:b/>
          <w:bCs w:val="0"/>
          <w:color w:val="auto"/>
          <w:sz w:val="32"/>
          <w:szCs w:val="32"/>
        </w:rPr>
        <w:t>违约责任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6.1投标方所提供的货物规格、技术标准、材料等质量不合格的，应及时更换，更换不及时的按逾期交货处罚；因质量问题或者技术标准不符合要求，我院不同意接收，投标方应向我院支付违约合同金额20%违约金并赔偿我院经济损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6.2投标方提供的系统如侵犯了第三方合法权益而引发的任何纠纷或诉讼，均由投标方负责交涉并承担全部责任。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6.3投标方逾期未完成项目实施的，每天向对方偿付违约合同金额3‰违约金，但违约金累计不得超过合同金额 5% ，超过30天对方有权解除合同，违约方承担因此给对方造成的经济损失；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6.4投标方未按本技术要求和响应文件中规定的其他服务承诺提供售后服务的，每次投标方应按合同金额的5% 向我院支付违约金。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6.5合同签订后7个工作日内进场实施，每个模块计划实施周期需在合同内写明。因公司原因逾期不进场实施的，需按每天向院方支付合同金额3‰作为违约金；超过30天，院方有权解除合同，公司需承担因此给院方造成的经济损失；因公司原因导致项目超期的，院方有权追究对方责任，按超期时间，每超期一周时间，扣除当期合同模块款项的1%作为甲方的损失金额，扣除上限为合同模块应付款的10%；超期30天，院方有权根据实际情况单方面终止合同,乙方须退回所有甲方已付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6.6任何一方违反本技术要求中“保密、廉洁条款”要求的，每次按合同款金额1%计算对方损失金额，损失累计金额超过合同款金额的5%的，损失方同时有权终止合同并收回已付款项。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6.7如因乙方原因造成项目实施超期，实施方按1000元/天向甲方支付违约金。超期30天，院方有权根据实际情况单方面终止合同并收回所有已付款项。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6.8如项目实施人员违反本技术要求6.2内容的，按甲方实际损失情况进行追责。如开发人员驻场时间不足，按500元/天扣除项目质保金。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6.9乙方未按本技术要求和响应文件中规定的其他服务承诺提供售后服务的，按损失情况，每次应按合同合计金额的0.1‰-0.1%向甲方支付违约金，损失累计金额超过合同款项的5%的，甲方同时有权终止合同，乙方须退回所有甲方已付款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p>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七、保密、廉洁协议</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7.2 双方不得以任何方式向第三方泄露本项目的软件技术、设计方案以及功能配置等内容。</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7.3 不以任何方式向第三方泄露在本协议开发实施过程中获取的经济、技术、数据以及双方其他非公开的信息。</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7.5保密期限自本合同生效之日起永久有效，如乙方需解除保密协议需向甲方提出书面申请，双方协商同意签字确认后方可解除。</w:t>
      </w:r>
    </w:p>
    <w:bookmarkEnd w:id="1"/>
    <w:p>
      <w:pPr>
        <w:pStyle w:val="3"/>
        <w:numPr>
          <w:ilvl w:val="0"/>
          <w:numId w:val="0"/>
        </w:numPr>
        <w:spacing w:before="312" w:beforeLines="100" w:line="360" w:lineRule="auto"/>
        <w:ind w:leftChars="0"/>
        <w:jc w:val="both"/>
        <w:rPr>
          <w:rFonts w:hint="eastAsia" w:ascii="宋体" w:hAnsi="宋体"/>
          <w:b/>
          <w:bCs w:val="0"/>
          <w:color w:val="auto"/>
          <w:sz w:val="32"/>
          <w:szCs w:val="32"/>
          <w:lang w:val="en-US" w:eastAsia="zh-CN"/>
        </w:rPr>
      </w:pPr>
      <w:r>
        <w:rPr>
          <w:rFonts w:hint="eastAsia" w:ascii="宋体" w:hAnsi="宋体"/>
          <w:b/>
          <w:bCs w:val="0"/>
          <w:color w:val="auto"/>
          <w:sz w:val="32"/>
          <w:szCs w:val="32"/>
          <w:lang w:val="en-US" w:eastAsia="zh-CN"/>
        </w:rPr>
        <w:t>八、报价</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竞标文件报价表价格包含系统软硬件费用、产品安装、调试实施、培训费用、产品升级费用，以及明示所有责任、义务和一切风险。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如项目功能二次开发内容涉及我院采购的第三方产品，则我院协调第三方产品开发商提供相关二次开发需要的接口和其他信息。请在标书内标明哪些功能的实现需要我院提供二次开发接口。</w:t>
      </w:r>
    </w:p>
    <w:p>
      <w:pPr>
        <w:pStyle w:val="3"/>
        <w:numPr>
          <w:ilvl w:val="0"/>
          <w:numId w:val="0"/>
        </w:numPr>
        <w:spacing w:before="312" w:beforeLines="100" w:line="360" w:lineRule="auto"/>
        <w:ind w:leftChars="0"/>
        <w:jc w:val="both"/>
        <w:rPr>
          <w:rFonts w:hint="eastAsia" w:ascii="宋体" w:hAnsi="宋体"/>
          <w:b/>
          <w:bCs w:val="0"/>
          <w:color w:val="auto"/>
          <w:sz w:val="32"/>
          <w:szCs w:val="32"/>
        </w:rPr>
      </w:pPr>
      <w:bookmarkStart w:id="2" w:name="_Toc507405799"/>
      <w:bookmarkStart w:id="3" w:name="_Toc507405800"/>
      <w:r>
        <w:rPr>
          <w:rFonts w:hint="eastAsia" w:ascii="宋体" w:hAnsi="宋体"/>
          <w:b/>
          <w:bCs w:val="0"/>
          <w:color w:val="auto"/>
          <w:sz w:val="32"/>
          <w:szCs w:val="32"/>
          <w:lang w:val="en-US" w:eastAsia="zh-CN"/>
        </w:rPr>
        <w:t>九、</w:t>
      </w:r>
      <w:r>
        <w:rPr>
          <w:rFonts w:hint="eastAsia" w:ascii="宋体" w:hAnsi="宋体"/>
          <w:b/>
          <w:bCs w:val="0"/>
          <w:color w:val="auto"/>
          <w:sz w:val="32"/>
          <w:szCs w:val="32"/>
        </w:rPr>
        <w:t>付款方式</w:t>
      </w:r>
      <w:bookmarkEnd w:id="2"/>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r>
        <w:rPr>
          <w:rFonts w:hint="eastAsia" w:ascii="宋体" w:hAnsi="宋体" w:eastAsia="宋体"/>
          <w:b w:val="0"/>
          <w:bCs/>
          <w:color w:val="auto"/>
          <w:sz w:val="24"/>
          <w:szCs w:val="24"/>
          <w:lang w:val="en-US" w:eastAsia="zh-CN"/>
        </w:rPr>
        <w:t>项目双方签订合同，公司进场进行项目实施1个月后，用户支付合同款项的30%；合同中的模块实施完毕，上线稳定运行3个月后，启动验收，验收合格后付合同款项的60%，自验收合格之日起，1年后付10%。</w:t>
      </w:r>
    </w:p>
    <w:bookmarkEnd w:id="3"/>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b w:val="0"/>
          <w:bCs/>
          <w:color w:val="auto"/>
          <w:sz w:val="24"/>
          <w:szCs w:val="24"/>
          <w:lang w:val="en-US" w:eastAsia="zh-CN"/>
        </w:rPr>
      </w:pPr>
    </w:p>
    <w:p>
      <w:pPr>
        <w:pStyle w:val="2"/>
        <w:rPr>
          <w:rFonts w:hint="default"/>
          <w:color w:val="auto"/>
          <w:sz w:val="24"/>
          <w:szCs w:val="24"/>
          <w:lang w:val="en-US" w:eastAsia="zh-C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4B0077"/>
    <w:multiLevelType w:val="singleLevel"/>
    <w:tmpl w:val="F84B0077"/>
    <w:lvl w:ilvl="0" w:tentative="0">
      <w:start w:val="1"/>
      <w:numFmt w:val="decimal"/>
      <w:suff w:val="nothing"/>
      <w:lvlText w:val="%1、"/>
      <w:lvlJc w:val="left"/>
    </w:lvl>
  </w:abstractNum>
  <w:abstractNum w:abstractNumId="1">
    <w:nsid w:val="02FB50FD"/>
    <w:multiLevelType w:val="singleLevel"/>
    <w:tmpl w:val="02FB50FD"/>
    <w:lvl w:ilvl="0" w:tentative="0">
      <w:start w:val="1"/>
      <w:numFmt w:val="decimal"/>
      <w:suff w:val="nothing"/>
      <w:lvlText w:val="%1、"/>
      <w:lvlJc w:val="left"/>
    </w:lvl>
  </w:abstractNum>
  <w:abstractNum w:abstractNumId="2">
    <w:nsid w:val="100FAD10"/>
    <w:multiLevelType w:val="singleLevel"/>
    <w:tmpl w:val="100FAD10"/>
    <w:lvl w:ilvl="0" w:tentative="0">
      <w:start w:val="1"/>
      <w:numFmt w:val="decimal"/>
      <w:suff w:val="nothing"/>
      <w:lvlText w:val="%1、"/>
      <w:lvlJc w:val="left"/>
    </w:lvl>
  </w:abstractNum>
  <w:abstractNum w:abstractNumId="3">
    <w:nsid w:val="14D84B87"/>
    <w:multiLevelType w:val="multilevel"/>
    <w:tmpl w:val="14D84B87"/>
    <w:lvl w:ilvl="0" w:tentative="0">
      <w:start w:val="1"/>
      <w:numFmt w:val="chineseCountingThousand"/>
      <w:pStyle w:val="3"/>
      <w:lvlText w:val="%1"/>
      <w:lvlJc w:val="left"/>
      <w:pPr>
        <w:ind w:left="425" w:hanging="425"/>
      </w:pPr>
      <w:rPr>
        <w:rFonts w:hint="eastAsia"/>
      </w:rPr>
    </w:lvl>
    <w:lvl w:ilvl="1" w:tentative="0">
      <w:start w:val="1"/>
      <w:numFmt w:val="chineseCountingThousand"/>
      <w:lvlText w:val="(%2)"/>
      <w:lvlJc w:val="left"/>
      <w:pPr>
        <w:ind w:left="850" w:hanging="567"/>
      </w:pPr>
      <w:rPr>
        <w:rFonts w:hint="eastAsia"/>
      </w:rPr>
    </w:lvl>
    <w:lvl w:ilvl="2" w:tentative="0">
      <w:start w:val="1"/>
      <w:numFmt w:val="decimal"/>
      <w:lvlText w:val="%3."/>
      <w:lvlJc w:val="left"/>
      <w:pPr>
        <w:ind w:left="1356" w:hanging="567"/>
      </w:pPr>
      <w:rPr>
        <w:rFonts w:hint="eastAsia"/>
      </w:rPr>
    </w:lvl>
    <w:lvl w:ilvl="3" w:tentative="0">
      <w:start w:val="1"/>
      <w:numFmt w:val="decimal"/>
      <w:isLgl/>
      <w:lvlText w:val="%1.%2.%3.%4"/>
      <w:lvlJc w:val="left"/>
      <w:pPr>
        <w:ind w:left="1984" w:hanging="708"/>
      </w:pPr>
      <w:rPr>
        <w:rFonts w:hint="eastAsia"/>
      </w:rPr>
    </w:lvl>
    <w:lvl w:ilvl="4" w:tentative="0">
      <w:start w:val="1"/>
      <w:numFmt w:val="decimal"/>
      <w:isLgl/>
      <w:lvlText w:val="%1.%2.%3.%4.%5"/>
      <w:lvlJc w:val="left"/>
      <w:pPr>
        <w:ind w:left="2551" w:hanging="850"/>
      </w:pPr>
      <w:rPr>
        <w:rFonts w:hint="eastAsia"/>
      </w:rPr>
    </w:lvl>
    <w:lvl w:ilvl="5" w:tentative="0">
      <w:start w:val="1"/>
      <w:numFmt w:val="decimal"/>
      <w:isLgl/>
      <w:lvlText w:val="%1.%2.%3.%4.%5.%6"/>
      <w:lvlJc w:val="left"/>
      <w:pPr>
        <w:ind w:left="3260" w:hanging="1134"/>
      </w:pPr>
      <w:rPr>
        <w:rFonts w:hint="eastAsia"/>
      </w:rPr>
    </w:lvl>
    <w:lvl w:ilvl="6" w:tentative="0">
      <w:start w:val="1"/>
      <w:numFmt w:val="decimal"/>
      <w:isLgl/>
      <w:lvlText w:val="%1.%2.%3.%4.%5.%6.%7"/>
      <w:lvlJc w:val="left"/>
      <w:pPr>
        <w:ind w:left="3827" w:hanging="1276"/>
      </w:pPr>
      <w:rPr>
        <w:rFonts w:hint="eastAsia"/>
      </w:rPr>
    </w:lvl>
    <w:lvl w:ilvl="7" w:tentative="0">
      <w:start w:val="1"/>
      <w:numFmt w:val="decimal"/>
      <w:isLgl/>
      <w:lvlText w:val="%1.%2.%3.%4.%5.%6.%7.%8"/>
      <w:lvlJc w:val="left"/>
      <w:pPr>
        <w:ind w:left="4394" w:hanging="1418"/>
      </w:pPr>
      <w:rPr>
        <w:rFonts w:hint="eastAsia"/>
      </w:rPr>
    </w:lvl>
    <w:lvl w:ilvl="8" w:tentative="0">
      <w:start w:val="1"/>
      <w:numFmt w:val="decimal"/>
      <w:isLgl/>
      <w:lvlText w:val="%1.%2.%3.%4.%5.%6.%7.%8.%9"/>
      <w:lvlJc w:val="left"/>
      <w:pPr>
        <w:ind w:left="5102" w:hanging="1700"/>
      </w:pPr>
      <w:rPr>
        <w:rFonts w:hint="eastAsia"/>
      </w:rPr>
    </w:lvl>
  </w:abstractNum>
  <w:abstractNum w:abstractNumId="4">
    <w:nsid w:val="1AF31572"/>
    <w:multiLevelType w:val="singleLevel"/>
    <w:tmpl w:val="1AF31572"/>
    <w:lvl w:ilvl="0" w:tentative="0">
      <w:start w:val="1"/>
      <w:numFmt w:val="decimal"/>
      <w:suff w:val="nothing"/>
      <w:lvlText w:val="%1、"/>
      <w:lvlJc w:val="left"/>
    </w:lvl>
  </w:abstractNum>
  <w:abstractNum w:abstractNumId="5">
    <w:nsid w:val="23EC5C6F"/>
    <w:multiLevelType w:val="multilevel"/>
    <w:tmpl w:val="23EC5C6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E863D13"/>
    <w:multiLevelType w:val="singleLevel"/>
    <w:tmpl w:val="2E863D13"/>
    <w:lvl w:ilvl="0" w:tentative="0">
      <w:start w:val="1"/>
      <w:numFmt w:val="decimal"/>
      <w:suff w:val="nothing"/>
      <w:lvlText w:val="%1、"/>
      <w:lvlJc w:val="left"/>
    </w:lvl>
  </w:abstractNum>
  <w:abstractNum w:abstractNumId="7">
    <w:nsid w:val="604E3028"/>
    <w:multiLevelType w:val="singleLevel"/>
    <w:tmpl w:val="604E3028"/>
    <w:lvl w:ilvl="0" w:tentative="0">
      <w:start w:val="1"/>
      <w:numFmt w:val="decimal"/>
      <w:suff w:val="nothing"/>
      <w:lvlText w:val="%1、"/>
      <w:lvlJc w:val="left"/>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B0382"/>
    <w:rsid w:val="01571268"/>
    <w:rsid w:val="038608DA"/>
    <w:rsid w:val="06DE2045"/>
    <w:rsid w:val="06DF14B2"/>
    <w:rsid w:val="07F33EDF"/>
    <w:rsid w:val="08FA38C1"/>
    <w:rsid w:val="0A1F2083"/>
    <w:rsid w:val="0B4C1951"/>
    <w:rsid w:val="0B67392E"/>
    <w:rsid w:val="0D080720"/>
    <w:rsid w:val="0D23190D"/>
    <w:rsid w:val="0D555A4F"/>
    <w:rsid w:val="109B068D"/>
    <w:rsid w:val="112F3740"/>
    <w:rsid w:val="14782DB8"/>
    <w:rsid w:val="14AF00BD"/>
    <w:rsid w:val="153D4F2B"/>
    <w:rsid w:val="165C1DAE"/>
    <w:rsid w:val="16ED2D59"/>
    <w:rsid w:val="17536FF6"/>
    <w:rsid w:val="17FD0785"/>
    <w:rsid w:val="19151124"/>
    <w:rsid w:val="192531FB"/>
    <w:rsid w:val="1A251034"/>
    <w:rsid w:val="1AA944D3"/>
    <w:rsid w:val="1B5C436C"/>
    <w:rsid w:val="1B91509A"/>
    <w:rsid w:val="1D9262D5"/>
    <w:rsid w:val="1E0E7D06"/>
    <w:rsid w:val="22293C01"/>
    <w:rsid w:val="22FE3772"/>
    <w:rsid w:val="241704B1"/>
    <w:rsid w:val="25777CFD"/>
    <w:rsid w:val="25D43FBF"/>
    <w:rsid w:val="27552A46"/>
    <w:rsid w:val="286B6BD0"/>
    <w:rsid w:val="2FD2603C"/>
    <w:rsid w:val="300F1BF8"/>
    <w:rsid w:val="317E201D"/>
    <w:rsid w:val="31D1153F"/>
    <w:rsid w:val="367D4F11"/>
    <w:rsid w:val="36BD5288"/>
    <w:rsid w:val="3720710D"/>
    <w:rsid w:val="382819FC"/>
    <w:rsid w:val="39F01F29"/>
    <w:rsid w:val="3BAF07E2"/>
    <w:rsid w:val="3E9620E0"/>
    <w:rsid w:val="3FFE146B"/>
    <w:rsid w:val="41971DBD"/>
    <w:rsid w:val="476023B9"/>
    <w:rsid w:val="47741735"/>
    <w:rsid w:val="480C0CC5"/>
    <w:rsid w:val="489966A9"/>
    <w:rsid w:val="48B60FD8"/>
    <w:rsid w:val="4984533F"/>
    <w:rsid w:val="49C017DB"/>
    <w:rsid w:val="49EF6D33"/>
    <w:rsid w:val="4B452BAA"/>
    <w:rsid w:val="4CA146B3"/>
    <w:rsid w:val="4CB6298B"/>
    <w:rsid w:val="4CCE0083"/>
    <w:rsid w:val="4E6F3E5A"/>
    <w:rsid w:val="508670F0"/>
    <w:rsid w:val="50A873B9"/>
    <w:rsid w:val="516332A1"/>
    <w:rsid w:val="51B83F6E"/>
    <w:rsid w:val="52C84CF5"/>
    <w:rsid w:val="5331411A"/>
    <w:rsid w:val="54361EC0"/>
    <w:rsid w:val="54E82BB7"/>
    <w:rsid w:val="55B43D13"/>
    <w:rsid w:val="565E1216"/>
    <w:rsid w:val="5A064801"/>
    <w:rsid w:val="5A334C18"/>
    <w:rsid w:val="5B091E7A"/>
    <w:rsid w:val="5C6164F3"/>
    <w:rsid w:val="5EEF047E"/>
    <w:rsid w:val="64517571"/>
    <w:rsid w:val="64DD4202"/>
    <w:rsid w:val="67234BE8"/>
    <w:rsid w:val="68B72934"/>
    <w:rsid w:val="69672E1D"/>
    <w:rsid w:val="69A9737D"/>
    <w:rsid w:val="6B1179F5"/>
    <w:rsid w:val="6CB954B8"/>
    <w:rsid w:val="6E3C0579"/>
    <w:rsid w:val="6EE571DB"/>
    <w:rsid w:val="6F95416A"/>
    <w:rsid w:val="7063597B"/>
    <w:rsid w:val="711C77D0"/>
    <w:rsid w:val="71510DD9"/>
    <w:rsid w:val="71BF09FC"/>
    <w:rsid w:val="73921C1D"/>
    <w:rsid w:val="73F71B2F"/>
    <w:rsid w:val="77574287"/>
    <w:rsid w:val="7885697F"/>
    <w:rsid w:val="7AB427B8"/>
    <w:rsid w:val="7B436123"/>
    <w:rsid w:val="7BC76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kern w:val="0"/>
      <w:sz w:val="20"/>
      <w:szCs w:val="24"/>
      <w:lang w:val="zh-CN"/>
    </w:rPr>
  </w:style>
  <w:style w:type="paragraph" w:styleId="4">
    <w:name w:val="Body Text Indent 3"/>
    <w:basedOn w:val="1"/>
    <w:unhideWhenUsed/>
    <w:qFormat/>
    <w:uiPriority w:val="0"/>
    <w:pPr>
      <w:spacing w:after="120" w:line="440" w:lineRule="exact"/>
      <w:ind w:left="200" w:leftChars="200" w:firstLine="480" w:firstLineChars="200"/>
    </w:pPr>
    <w:rPr>
      <w:rFonts w:eastAsia="微软雅黑" w:cs="Arial"/>
      <w:sz w:val="16"/>
      <w:szCs w:val="16"/>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paragraph" w:customStyle="1" w:styleId="9">
    <w:name w:val="p15"/>
    <w:basedOn w:val="1"/>
    <w:qFormat/>
    <w:uiPriority w:val="0"/>
    <w:pPr>
      <w:widowControl/>
      <w:ind w:firstLine="420"/>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2021-09-14T03:36:00Z</dcterms:created>
  <dc:creator>LGYY-USER</dc:creator>
  <cp:lastModifiedBy>天亮说晚安</cp:lastModifiedBy>
  <dcterms:modified xsi:type="dcterms:W3CDTF">2021-10-14T00:35:09Z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96276C15F0CC44D3B9411428FBFED6E7</vt:lpwstr>
  </property>
</Properties>
</file>