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00" w:lineRule="exact"/>
        <w:ind w:left="1140"/>
        <w:jc w:val="center"/>
        <w:rPr>
          <w:rFonts w:hint="eastAsia" w:ascii="宋体" w:hAnsi="宋体"/>
          <w:sz w:val="44"/>
          <w:szCs w:val="44"/>
          <w:shd w:val="pct10" w:color="auto" w:fill="FFFFFF"/>
        </w:rPr>
      </w:pPr>
      <w:bookmarkStart w:id="0" w:name="_Toc370808018"/>
      <w:r>
        <w:rPr>
          <w:rFonts w:hint="eastAsia" w:ascii="宋体" w:hAnsi="宋体"/>
          <w:sz w:val="44"/>
          <w:szCs w:val="44"/>
          <w:lang w:val="en-US" w:eastAsia="zh-CN"/>
        </w:rPr>
        <w:t>肉类</w:t>
      </w:r>
      <w:r>
        <w:rPr>
          <w:rFonts w:hint="eastAsia" w:ascii="宋体" w:hAnsi="宋体"/>
          <w:sz w:val="44"/>
          <w:szCs w:val="44"/>
        </w:rPr>
        <w:t>采购需求</w:t>
      </w:r>
      <w:bookmarkEnd w:id="0"/>
    </w:p>
    <w:p>
      <w:pPr>
        <w:snapToGrid w:val="0"/>
        <w:spacing w:line="360" w:lineRule="exac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资质要求：</w:t>
      </w:r>
    </w:p>
    <w:p>
      <w:pPr>
        <w:keepNext w:val="0"/>
        <w:keepLines w:val="0"/>
        <w:pageBreakBefore w:val="0"/>
        <w:widowControl w:val="0"/>
        <w:tabs>
          <w:tab w:val="left" w:pos="56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须在中华人民共和国境内依法注册，有独立法人资格，注册生产或经营本次招标内容，有依法缴纳税收和社会保障金的良好记录。</w:t>
      </w:r>
    </w:p>
    <w:p>
      <w:pPr>
        <w:keepNext w:val="0"/>
        <w:keepLines w:val="0"/>
        <w:pageBreakBefore w:val="0"/>
        <w:widowControl w:val="0"/>
        <w:tabs>
          <w:tab w:val="left" w:pos="56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需提供食品流通许可证或食品经营许可证，且在供应年限内有效。</w:t>
      </w:r>
    </w:p>
    <w:p>
      <w:pPr>
        <w:keepNext w:val="0"/>
        <w:keepLines w:val="0"/>
        <w:pageBreakBefore w:val="0"/>
        <w:widowControl w:val="0"/>
        <w:tabs>
          <w:tab w:val="left" w:pos="56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未被列入失信被执行人、重大税收违法案件当事人名单。</w:t>
      </w:r>
    </w:p>
    <w:p>
      <w:pPr>
        <w:keepNext w:val="0"/>
        <w:keepLines w:val="0"/>
        <w:pageBreakBefore w:val="0"/>
        <w:widowControl w:val="0"/>
        <w:tabs>
          <w:tab w:val="left" w:pos="56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在最近三年内的生产、经营中无有关食品安全方面的违法违纪行为，不存在不良记录及食品安全、质量等问题。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、须具有良好的商业信誉，依法缴纳税收和社会保障资金记录良好。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、须具备健全的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食品安全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管理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和应急预案。</w:t>
      </w:r>
    </w:p>
    <w:p>
      <w:pPr>
        <w:snapToGrid w:val="0"/>
        <w:spacing w:line="360" w:lineRule="exac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snapToGrid w:val="0"/>
        <w:spacing w:line="360" w:lineRule="exac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配送要求：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1、必须保证配送的食品取得食品生产许可证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2、凡是《食品安全法》禁止经营的食品一律不得采购和使用，严禁配送“三无”食品、有毒、有害、过期、变质、假冒伪劣等不合格食品。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3、严格按采购人规定的时间、地点、要求配送。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配送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人组织专人负责对配送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食材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进行留样，每批次供货留样1份，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配送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人可请有资质的质量检测机构对配送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食材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进行抽样检查，并对检查情况建立档案；若抽样检查出现不合格产品或因配送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食材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质量不合格而发生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食品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安全事故的，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配送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人将承担由此造成的经济责任和法律责任。</w:t>
      </w:r>
    </w:p>
    <w:p>
      <w:pPr>
        <w:pStyle w:val="2"/>
        <w:rPr>
          <w:rFonts w:hint="eastAsia" w:eastAsia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yellow"/>
          <w:lang w:val="en-US" w:eastAsia="zh-CN"/>
        </w:rPr>
        <w:t>5、配送的边猪，需按照食堂现场工作人员要求进行分解。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质量要求：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center"/>
        <w:outlineLvl w:val="9"/>
        <w:rPr>
          <w:rFonts w:hint="eastAsia" w:asciiTheme="minorEastAsia" w:hAnsiTheme="minorEastAsia" w:eastAsiaTheme="minorEastAsia" w:cstheme="minorEastAsia"/>
          <w:bCs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1、要求必须是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30"/>
          <w:szCs w:val="30"/>
        </w:rPr>
        <w:t>当天屠宰的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生鲜放心肉，交货时须提供动物检疫合格证明、生猪定点屠宰证（猪肉类须提供）复印件，具有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30"/>
          <w:szCs w:val="30"/>
        </w:rPr>
        <w:t>“QS”或“SC”食品质量认证标志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30"/>
          <w:szCs w:val="30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outlineLvl w:val="9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2、去除筋、杂物，肉质鲜嫩，不注水，符合食品卫生要求；对于鲜猪手脚等，必须去除一切杂毛污物，无异味，交货以干净、新鲜、大小适中为标准。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价格要求：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0"/>
          <w:szCs w:val="30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highlight w:val="yellow"/>
          <w:lang w:val="en-US" w:eastAsia="zh-CN"/>
        </w:rPr>
        <w:t>按所需品种报价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highlight w:val="yellow"/>
          <w:lang w:val="en-US" w:eastAsia="zh-CN"/>
        </w:rPr>
        <w:t>（税后）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highlight w:val="yellow"/>
          <w:lang w:val="en-US" w:eastAsia="zh-CN"/>
        </w:rPr>
        <w:t>，在周边菜市场（磨滩、五菱、永前）进行询价，每个品种询价三家取均价，按三家菜市场的均价下浮（报下浮率），每半个月进行市场调查，按调查结果定价。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配送服务期限：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30"/>
          <w:szCs w:val="30"/>
          <w:lang w:val="en-US" w:eastAsia="zh-CN"/>
        </w:rPr>
        <w:t>满足资质要求、配送要求、质量要求、价格要求后，综合评定，选择一家供应商。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合同期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一年，具体以双方签订的合同正式文件执行时间为准。</w:t>
      </w:r>
      <w:r>
        <w:rPr>
          <w:rFonts w:hint="eastAsia"/>
          <w:b w:val="0"/>
          <w:bCs w:val="0"/>
          <w:color w:val="000000"/>
          <w:sz w:val="30"/>
          <w:szCs w:val="30"/>
          <w:lang w:val="en-US" w:eastAsia="zh-CN"/>
        </w:rPr>
        <w:t>试用期三个月，如试用期内任何一个月评分不达90分，院方有权终止合同。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肉类食材明细表：</w:t>
      </w:r>
    </w:p>
    <w:tbl>
      <w:tblPr>
        <w:tblStyle w:val="5"/>
        <w:tblpPr w:leftFromText="180" w:rightFromText="180" w:vertAnchor="text" w:horzAnchor="page" w:tblpX="1555" w:tblpY="689"/>
        <w:tblOverlap w:val="never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3"/>
        <w:gridCol w:w="1808"/>
        <w:gridCol w:w="679"/>
        <w:gridCol w:w="975"/>
        <w:gridCol w:w="743"/>
        <w:gridCol w:w="951"/>
        <w:gridCol w:w="1301"/>
        <w:gridCol w:w="523"/>
        <w:gridCol w:w="967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964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柳州市工人医院食材明细表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494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肉类明细表</w:t>
            </w:r>
          </w:p>
        </w:tc>
        <w:tc>
          <w:tcPr>
            <w:tcW w:w="469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年用量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（税后价）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年用量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（税后价）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猪精瘦肉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猪血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猪半肥瘦肉沫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肥肉沫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猪前脚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16309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前腿肉/带皮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猪排骨/小排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前腿肉/去皮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猪五花无头/带皮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猪利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牛腩/肉腩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猪仔排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猪五花带头/带皮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肥肉/去皮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猪头骨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猪肺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猪耳朵/烧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尖口肉/去皮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猪沙骨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肥肉/带皮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猪心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猪腰/处理好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双边肠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猪排骨/光排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猪肚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猪筒骨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猪七寸/短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猪五花无头/无皮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猪腰/未处理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猪大肠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后腿肉/带皮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后腿肉/去皮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猪前胛/无皮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猪脑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猪舌头（带肉）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猪脚尖/冰鲜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水晶包肥肉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狗肉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猪前胛/带皮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牛杂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猪五花带头/无皮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牛肚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鲜牛肉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牛百叶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猪脚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羊肉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猪肥肉/无皮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羊杂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猪箭杆肠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兔肉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肉类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边猪（不含头）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03C52"/>
    <w:rsid w:val="05521BF2"/>
    <w:rsid w:val="06E7528A"/>
    <w:rsid w:val="08DA34B3"/>
    <w:rsid w:val="0C5743CF"/>
    <w:rsid w:val="0C70690E"/>
    <w:rsid w:val="0D9B14E5"/>
    <w:rsid w:val="14803C52"/>
    <w:rsid w:val="1B782FDB"/>
    <w:rsid w:val="1E4735B9"/>
    <w:rsid w:val="2A4C7E32"/>
    <w:rsid w:val="2AD10720"/>
    <w:rsid w:val="2E1361CD"/>
    <w:rsid w:val="2FF23005"/>
    <w:rsid w:val="304F6FA2"/>
    <w:rsid w:val="31C31D32"/>
    <w:rsid w:val="35773E22"/>
    <w:rsid w:val="37276C98"/>
    <w:rsid w:val="379E18BD"/>
    <w:rsid w:val="43A93678"/>
    <w:rsid w:val="50553B2B"/>
    <w:rsid w:val="50A27F62"/>
    <w:rsid w:val="53073B66"/>
    <w:rsid w:val="5C565386"/>
    <w:rsid w:val="69C415C4"/>
    <w:rsid w:val="747F58AC"/>
    <w:rsid w:val="75C25476"/>
    <w:rsid w:val="76E524F8"/>
    <w:rsid w:val="78641271"/>
    <w:rsid w:val="7BD7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szCs w:val="21"/>
    </w:rPr>
  </w:style>
  <w:style w:type="paragraph" w:styleId="4">
    <w:name w:val="Body Text"/>
    <w:basedOn w:val="1"/>
    <w:qFormat/>
    <w:uiPriority w:val="0"/>
    <w:pPr>
      <w:spacing w:line="38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2021-08-03T09:28:00Z</dcterms:created>
  <dc:creator>LGYY-USER</dc:creator>
  <cp:lastModifiedBy>睡莲</cp:lastModifiedBy>
  <dcterms:modified xsi:type="dcterms:W3CDTF">2021-10-11T06:29:09Z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1D169EC479F3448F851F03E3B58B3D23</vt:lpwstr>
  </property>
</Properties>
</file>